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4C" w:rsidRPr="002D52D3" w:rsidRDefault="002D52D3" w:rsidP="000650A3">
      <w:pPr>
        <w:jc w:val="center"/>
        <w:rPr>
          <w:rFonts w:ascii="Arial" w:hAnsi="Arial" w:cs="Arial"/>
          <w:smallCaps/>
        </w:rPr>
      </w:pPr>
      <w:bookmarkStart w:id="0" w:name="_GoBack"/>
      <w:bookmarkEnd w:id="0"/>
      <w:r w:rsidRPr="002D52D3">
        <w:rPr>
          <w:rFonts w:ascii="Arial" w:hAnsi="Arial" w:cs="Arial"/>
          <w:smallCaps/>
        </w:rPr>
        <w:t>UNITED STATES DISTRICT COURT</w:t>
      </w:r>
    </w:p>
    <w:p w:rsidR="008D194C" w:rsidRPr="002D52D3" w:rsidRDefault="002D52D3" w:rsidP="000650A3">
      <w:pPr>
        <w:jc w:val="center"/>
        <w:rPr>
          <w:rFonts w:ascii="Arial" w:hAnsi="Arial" w:cs="Arial"/>
          <w:smallCaps/>
        </w:rPr>
      </w:pPr>
      <w:r w:rsidRPr="002D52D3">
        <w:rPr>
          <w:rFonts w:ascii="Arial" w:hAnsi="Arial" w:cs="Arial"/>
          <w:smallCaps/>
        </w:rPr>
        <w:t>MIDDLE DISTRICT OF FLORIDA</w:t>
      </w:r>
    </w:p>
    <w:p w:rsidR="008D194C" w:rsidRPr="002D52D3" w:rsidRDefault="002D52D3" w:rsidP="000650A3">
      <w:pPr>
        <w:jc w:val="center"/>
        <w:rPr>
          <w:rFonts w:ascii="Arial" w:hAnsi="Arial" w:cs="Arial"/>
          <w:sz w:val="22"/>
          <w:szCs w:val="22"/>
        </w:rPr>
      </w:pPr>
      <w:r w:rsidRPr="002D52D3">
        <w:rPr>
          <w:rFonts w:ascii="Arial" w:hAnsi="Arial" w:cs="Arial"/>
          <w:smallCaps/>
        </w:rPr>
        <w:t>F</w:t>
      </w:r>
      <w:r>
        <w:rPr>
          <w:rFonts w:ascii="Arial" w:hAnsi="Arial" w:cs="Arial"/>
          <w:smallCaps/>
        </w:rPr>
        <w:t xml:space="preserve">ORT </w:t>
      </w:r>
      <w:r w:rsidRPr="002D52D3">
        <w:rPr>
          <w:rFonts w:ascii="Arial" w:hAnsi="Arial" w:cs="Arial"/>
          <w:smallCaps/>
        </w:rPr>
        <w:t>MYERS DIVISION</w:t>
      </w:r>
    </w:p>
    <w:p w:rsidR="008D194C" w:rsidRPr="002D52D3" w:rsidRDefault="008D194C" w:rsidP="000650A3">
      <w:pPr>
        <w:rPr>
          <w:rFonts w:ascii="Arial" w:hAnsi="Arial" w:cs="Arial"/>
        </w:rPr>
      </w:pPr>
    </w:p>
    <w:p w:rsidR="008D194C" w:rsidRPr="002D52D3" w:rsidRDefault="008D194C" w:rsidP="000650A3">
      <w:pPr>
        <w:rPr>
          <w:rFonts w:ascii="Arial" w:hAnsi="Arial" w:cs="Arial"/>
        </w:rPr>
      </w:pPr>
    </w:p>
    <w:p w:rsidR="008D194C" w:rsidRPr="002D52D3" w:rsidRDefault="008D194C" w:rsidP="000650A3">
      <w:pPr>
        <w:ind w:right="4320" w:firstLine="2880"/>
        <w:rPr>
          <w:rFonts w:ascii="Arial" w:hAnsi="Arial" w:cs="Arial"/>
        </w:rPr>
      </w:pPr>
      <w:r w:rsidRPr="002D52D3">
        <w:rPr>
          <w:rFonts w:ascii="Arial" w:hAnsi="Arial" w:cs="Arial"/>
        </w:rPr>
        <w:t>Plaintiff</w:t>
      </w:r>
      <w:r w:rsidR="005335EB">
        <w:rPr>
          <w:rFonts w:ascii="Arial" w:hAnsi="Arial" w:cs="Arial"/>
        </w:rPr>
        <w:t>(s)</w:t>
      </w:r>
      <w:r w:rsidRPr="002D52D3">
        <w:rPr>
          <w:rFonts w:ascii="Arial" w:hAnsi="Arial" w:cs="Arial"/>
        </w:rPr>
        <w:t>,</w:t>
      </w:r>
    </w:p>
    <w:p w:rsidR="008D194C" w:rsidRPr="002D52D3" w:rsidRDefault="008D194C" w:rsidP="000650A3">
      <w:pPr>
        <w:ind w:firstLine="2880"/>
        <w:rPr>
          <w:rFonts w:ascii="Arial" w:hAnsi="Arial" w:cs="Arial"/>
        </w:rPr>
      </w:pPr>
    </w:p>
    <w:p w:rsidR="008D194C" w:rsidRPr="002D52D3" w:rsidRDefault="008D194C" w:rsidP="000650A3">
      <w:pPr>
        <w:rPr>
          <w:rFonts w:ascii="Arial" w:hAnsi="Arial" w:cs="Arial"/>
        </w:rPr>
      </w:pPr>
    </w:p>
    <w:p w:rsidR="008D194C" w:rsidRPr="002D52D3" w:rsidRDefault="008D194C" w:rsidP="005335EB">
      <w:pPr>
        <w:tabs>
          <w:tab w:val="right" w:pos="8640"/>
        </w:tabs>
        <w:rPr>
          <w:rFonts w:ascii="Arial" w:hAnsi="Arial" w:cs="Arial"/>
        </w:rPr>
      </w:pPr>
      <w:r w:rsidRPr="002D52D3">
        <w:rPr>
          <w:rFonts w:ascii="Arial" w:hAnsi="Arial" w:cs="Arial"/>
        </w:rPr>
        <w:t>v.</w:t>
      </w:r>
      <w:r w:rsidR="00174B20" w:rsidRPr="002D52D3">
        <w:rPr>
          <w:rFonts w:ascii="Arial" w:hAnsi="Arial" w:cs="Arial"/>
        </w:rPr>
        <w:tab/>
        <w:t>Case No. 2:  -cv-    -</w:t>
      </w:r>
      <w:proofErr w:type="spellStart"/>
      <w:r w:rsidR="00174B20" w:rsidRPr="002D52D3">
        <w:rPr>
          <w:rFonts w:ascii="Arial" w:hAnsi="Arial" w:cs="Arial"/>
        </w:rPr>
        <w:t>FtM</w:t>
      </w:r>
      <w:proofErr w:type="spellEnd"/>
      <w:r w:rsidR="00174B20" w:rsidRPr="002D52D3">
        <w:rPr>
          <w:rFonts w:ascii="Arial" w:hAnsi="Arial" w:cs="Arial"/>
        </w:rPr>
        <w:t>-</w:t>
      </w:r>
      <w:r w:rsidRPr="002D52D3">
        <w:rPr>
          <w:rFonts w:ascii="Arial" w:hAnsi="Arial" w:cs="Arial"/>
        </w:rPr>
        <w:t xml:space="preserve">     </w:t>
      </w:r>
    </w:p>
    <w:p w:rsidR="008D194C" w:rsidRPr="002D52D3" w:rsidRDefault="008D194C" w:rsidP="000650A3">
      <w:pPr>
        <w:ind w:right="4320"/>
        <w:rPr>
          <w:rFonts w:ascii="Arial" w:hAnsi="Arial" w:cs="Arial"/>
        </w:rPr>
      </w:pPr>
    </w:p>
    <w:p w:rsidR="008D194C" w:rsidRPr="002D52D3" w:rsidRDefault="006D4CF8" w:rsidP="000650A3">
      <w:pPr>
        <w:ind w:right="4320" w:firstLine="2880"/>
        <w:rPr>
          <w:rFonts w:ascii="Arial" w:hAnsi="Arial" w:cs="Arial"/>
        </w:rPr>
      </w:pPr>
      <w:r w:rsidRPr="002D52D3">
        <w:rPr>
          <w:rFonts w:ascii="Arial" w:hAnsi="Arial" w:cs="Arial"/>
        </w:rPr>
        <w:t>Defendant</w:t>
      </w:r>
      <w:r w:rsidR="005335EB">
        <w:rPr>
          <w:rFonts w:ascii="Arial" w:hAnsi="Arial" w:cs="Arial"/>
        </w:rPr>
        <w:t>(s)</w:t>
      </w:r>
      <w:r w:rsidR="008D194C" w:rsidRPr="002D52D3">
        <w:rPr>
          <w:rFonts w:ascii="Arial" w:hAnsi="Arial" w:cs="Arial"/>
        </w:rPr>
        <w:t>.</w:t>
      </w:r>
    </w:p>
    <w:p w:rsidR="008D194C" w:rsidRPr="0044216B" w:rsidRDefault="008D194C" w:rsidP="000650A3">
      <w:pPr>
        <w:rPr>
          <w:rFonts w:ascii="Arial" w:hAnsi="Arial" w:cs="Arial"/>
        </w:rPr>
      </w:pPr>
      <w:r w:rsidRPr="0044216B">
        <w:rPr>
          <w:rFonts w:ascii="Arial" w:hAnsi="Arial" w:cs="Arial"/>
        </w:rPr>
        <w:t>___________________________________</w:t>
      </w:r>
    </w:p>
    <w:p w:rsidR="008D194C" w:rsidRPr="002D52D3" w:rsidRDefault="008D194C" w:rsidP="000650A3">
      <w:pPr>
        <w:rPr>
          <w:rFonts w:ascii="Arial" w:hAnsi="Arial" w:cs="Arial"/>
        </w:rPr>
      </w:pPr>
    </w:p>
    <w:p w:rsidR="00D371F6" w:rsidRDefault="00D371F6" w:rsidP="000650A3">
      <w:pPr>
        <w:autoSpaceDE/>
        <w:autoSpaceDN/>
        <w:adjustRightInd/>
        <w:jc w:val="center"/>
        <w:rPr>
          <w:rFonts w:ascii="Arial" w:hAnsi="Arial" w:cs="Arial"/>
          <w:b/>
          <w:bCs/>
          <w:smallCaps/>
          <w:u w:val="single"/>
        </w:rPr>
      </w:pPr>
    </w:p>
    <w:p w:rsidR="008D194C" w:rsidRDefault="00AE0357" w:rsidP="000650A3">
      <w:pPr>
        <w:autoSpaceDE/>
        <w:autoSpaceDN/>
        <w:adjustRightInd/>
        <w:jc w:val="center"/>
        <w:rPr>
          <w:rFonts w:eastAsiaTheme="minorHAnsi"/>
        </w:rPr>
      </w:pPr>
      <w:r>
        <w:rPr>
          <w:rFonts w:ascii="Arial" w:hAnsi="Arial" w:cs="Arial"/>
          <w:b/>
          <w:bCs/>
          <w:smallCaps/>
          <w:u w:val="single"/>
        </w:rPr>
        <w:t>PRETRIAL &amp; DISCOVERY PLAN</w:t>
      </w:r>
    </w:p>
    <w:p w:rsidR="00D7208B" w:rsidRPr="00D7208B" w:rsidRDefault="00D7208B" w:rsidP="000650A3">
      <w:pPr>
        <w:autoSpaceDE/>
        <w:autoSpaceDN/>
        <w:adjustRightInd/>
        <w:jc w:val="center"/>
        <w:rPr>
          <w:rFonts w:eastAsiaTheme="minorHAnsi"/>
        </w:rPr>
      </w:pPr>
    </w:p>
    <w:p w:rsidR="00EB720B" w:rsidRDefault="00BF073B" w:rsidP="000650A3">
      <w:pPr>
        <w:spacing w:line="480" w:lineRule="auto"/>
        <w:ind w:firstLine="720"/>
        <w:jc w:val="both"/>
        <w:rPr>
          <w:rFonts w:ascii="Arial" w:hAnsi="Arial" w:cs="Arial"/>
          <w:lang w:val="en"/>
        </w:rPr>
      </w:pPr>
      <w:r>
        <w:rPr>
          <w:rFonts w:ascii="Arial" w:hAnsi="Arial" w:cs="Arial"/>
        </w:rPr>
        <w:t xml:space="preserve">Pursuant to </w:t>
      </w:r>
      <w:r w:rsidR="008D194C" w:rsidRPr="002D52D3">
        <w:rPr>
          <w:rFonts w:ascii="Arial" w:hAnsi="Arial" w:cs="Arial"/>
        </w:rPr>
        <w:t>Fed</w:t>
      </w:r>
      <w:r w:rsidR="0044216B">
        <w:rPr>
          <w:rFonts w:ascii="Arial" w:hAnsi="Arial" w:cs="Arial"/>
        </w:rPr>
        <w:t xml:space="preserve">eral Rule of Civil Procedure </w:t>
      </w:r>
      <w:r w:rsidR="008D194C" w:rsidRPr="002D52D3">
        <w:rPr>
          <w:rFonts w:ascii="Arial" w:hAnsi="Arial" w:cs="Arial"/>
        </w:rPr>
        <w:t>26</w:t>
      </w:r>
      <w:r>
        <w:rPr>
          <w:rFonts w:ascii="Arial" w:hAnsi="Arial" w:cs="Arial"/>
        </w:rPr>
        <w:t>(f)</w:t>
      </w:r>
      <w:r w:rsidR="00EB720B">
        <w:rPr>
          <w:rFonts w:ascii="Arial" w:hAnsi="Arial" w:cs="Arial"/>
        </w:rPr>
        <w:t xml:space="preserve"> the parties certify that they discharged their Rule 26(f)(2) responsibilities in good faith and submit this report </w:t>
      </w:r>
      <w:r w:rsidR="00870D36">
        <w:rPr>
          <w:rFonts w:ascii="Arial" w:hAnsi="Arial" w:cs="Arial"/>
        </w:rPr>
        <w:t xml:space="preserve">as an </w:t>
      </w:r>
      <w:r w:rsidR="00EB720B">
        <w:rPr>
          <w:rFonts w:ascii="Arial" w:hAnsi="Arial" w:cs="Arial"/>
        </w:rPr>
        <w:t>outlin</w:t>
      </w:r>
      <w:r w:rsidR="00870D36">
        <w:rPr>
          <w:rFonts w:ascii="Arial" w:hAnsi="Arial" w:cs="Arial"/>
        </w:rPr>
        <w:t>e</w:t>
      </w:r>
      <w:r w:rsidR="00EB720B">
        <w:rPr>
          <w:rFonts w:ascii="Arial" w:hAnsi="Arial" w:cs="Arial"/>
        </w:rPr>
        <w:t xml:space="preserve"> </w:t>
      </w:r>
      <w:r w:rsidR="00870D36">
        <w:rPr>
          <w:rFonts w:ascii="Arial" w:hAnsi="Arial" w:cs="Arial"/>
        </w:rPr>
        <w:t xml:space="preserve">of </w:t>
      </w:r>
      <w:r w:rsidR="00EB720B">
        <w:rPr>
          <w:rFonts w:ascii="Arial" w:hAnsi="Arial" w:cs="Arial"/>
        </w:rPr>
        <w:t>their discovery plan.</w:t>
      </w:r>
    </w:p>
    <w:p w:rsidR="00EB720B" w:rsidRDefault="00870D36" w:rsidP="000650A3">
      <w:pPr>
        <w:spacing w:line="480" w:lineRule="auto"/>
        <w:ind w:firstLine="720"/>
        <w:jc w:val="both"/>
        <w:rPr>
          <w:rFonts w:ascii="Arial" w:hAnsi="Arial" w:cs="Arial"/>
          <w:lang w:val="en"/>
        </w:rPr>
      </w:pPr>
      <w:r>
        <w:rPr>
          <w:rFonts w:ascii="Arial" w:hAnsi="Arial" w:cs="Arial"/>
          <w:lang w:val="en"/>
        </w:rPr>
        <w:t>The parties must state their views and proposals on:</w:t>
      </w:r>
    </w:p>
    <w:p w:rsidR="00870D36" w:rsidRPr="00870D36" w:rsidRDefault="00870D36" w:rsidP="000650A3">
      <w:pPr>
        <w:spacing w:line="480" w:lineRule="auto"/>
        <w:ind w:firstLine="720"/>
        <w:jc w:val="both"/>
        <w:rPr>
          <w:rFonts w:ascii="Arial" w:hAnsi="Arial" w:cs="Arial"/>
          <w:lang w:val="en"/>
        </w:rPr>
      </w:pPr>
      <w:r w:rsidRPr="00870D36">
        <w:rPr>
          <w:rFonts w:ascii="Arial" w:hAnsi="Arial" w:cs="Arial"/>
          <w:lang w:val="en"/>
        </w:rPr>
        <w:t>(A) what changes should be made in the timing, form, or requirement for disclosures under Rule 26(a), including a statement of when initial disclosures were made or will be made;</w:t>
      </w:r>
    </w:p>
    <w:p w:rsidR="00870D36" w:rsidRPr="00870D36" w:rsidRDefault="00870D36" w:rsidP="000650A3">
      <w:pPr>
        <w:spacing w:line="480" w:lineRule="auto"/>
        <w:ind w:firstLine="720"/>
        <w:jc w:val="both"/>
        <w:rPr>
          <w:rFonts w:ascii="Arial" w:hAnsi="Arial" w:cs="Arial"/>
          <w:b/>
          <w:bCs/>
          <w:lang w:val="en"/>
        </w:rPr>
      </w:pPr>
      <w:r w:rsidRPr="00870D36">
        <w:rPr>
          <w:rFonts w:ascii="Arial" w:hAnsi="Arial" w:cs="Arial"/>
          <w:b/>
          <w:bCs/>
          <w:lang w:val="en"/>
        </w:rPr>
        <w:t>RESPONSE:</w:t>
      </w:r>
      <w:r w:rsidR="00525ADC" w:rsidRPr="00D96FCC">
        <w:rPr>
          <w:rStyle w:val="FootnoteReference"/>
          <w:rFonts w:ascii="Arial" w:hAnsi="Arial" w:cs="Arial"/>
          <w:vertAlign w:val="superscript"/>
          <w:lang w:val="en"/>
        </w:rPr>
        <w:footnoteReference w:id="1"/>
      </w:r>
    </w:p>
    <w:p w:rsidR="00D371F6" w:rsidRDefault="00D371F6" w:rsidP="000650A3">
      <w:pPr>
        <w:spacing w:line="480" w:lineRule="auto"/>
        <w:ind w:firstLine="720"/>
        <w:jc w:val="both"/>
        <w:rPr>
          <w:rFonts w:ascii="Arial" w:hAnsi="Arial" w:cs="Arial"/>
          <w:lang w:val="en"/>
        </w:rPr>
      </w:pPr>
    </w:p>
    <w:p w:rsidR="00C2709B" w:rsidRPr="00870D36" w:rsidRDefault="00C2709B" w:rsidP="000650A3">
      <w:pPr>
        <w:spacing w:line="480" w:lineRule="auto"/>
        <w:ind w:firstLine="720"/>
        <w:jc w:val="both"/>
        <w:rPr>
          <w:rFonts w:ascii="Arial" w:hAnsi="Arial" w:cs="Arial"/>
          <w:lang w:val="en"/>
        </w:rPr>
      </w:pPr>
    </w:p>
    <w:p w:rsidR="00870D36" w:rsidRPr="00870D36" w:rsidRDefault="00870D36" w:rsidP="000650A3">
      <w:pPr>
        <w:spacing w:line="480" w:lineRule="auto"/>
        <w:ind w:firstLine="720"/>
        <w:jc w:val="both"/>
        <w:rPr>
          <w:rFonts w:ascii="Arial" w:hAnsi="Arial" w:cs="Arial"/>
          <w:lang w:val="en"/>
        </w:rPr>
      </w:pPr>
      <w:r w:rsidRPr="00870D36">
        <w:rPr>
          <w:rFonts w:ascii="Arial" w:hAnsi="Arial" w:cs="Arial"/>
          <w:lang w:val="en"/>
        </w:rPr>
        <w:t xml:space="preserve">(B) the subjects on which discovery may be needed, when discovery should be completed, and whether discovery should be conducted in phases or be limited to or focused on </w:t>
      </w:r>
      <w:proofErr w:type="gramStart"/>
      <w:r w:rsidRPr="00870D36">
        <w:rPr>
          <w:rFonts w:ascii="Arial" w:hAnsi="Arial" w:cs="Arial"/>
          <w:lang w:val="en"/>
        </w:rPr>
        <w:t>particular issues</w:t>
      </w:r>
      <w:proofErr w:type="gramEnd"/>
      <w:r w:rsidRPr="00870D36">
        <w:rPr>
          <w:rFonts w:ascii="Arial" w:hAnsi="Arial" w:cs="Arial"/>
          <w:lang w:val="en"/>
        </w:rPr>
        <w:t>;</w:t>
      </w:r>
    </w:p>
    <w:p w:rsidR="00870D36" w:rsidRDefault="00D371F6" w:rsidP="000650A3">
      <w:pPr>
        <w:spacing w:line="480" w:lineRule="auto"/>
        <w:ind w:firstLine="720"/>
        <w:jc w:val="both"/>
        <w:rPr>
          <w:rFonts w:ascii="Arial" w:hAnsi="Arial" w:cs="Arial"/>
          <w:b/>
          <w:bCs/>
          <w:lang w:val="en"/>
        </w:rPr>
      </w:pPr>
      <w:r w:rsidRPr="00870D36">
        <w:rPr>
          <w:rFonts w:ascii="Arial" w:hAnsi="Arial" w:cs="Arial"/>
          <w:b/>
          <w:bCs/>
          <w:lang w:val="en"/>
        </w:rPr>
        <w:lastRenderedPageBreak/>
        <w:t>RESPONSE:</w:t>
      </w:r>
    </w:p>
    <w:p w:rsidR="00C2709B" w:rsidRDefault="00C2709B" w:rsidP="000650A3">
      <w:pPr>
        <w:spacing w:line="480" w:lineRule="auto"/>
        <w:ind w:firstLine="720"/>
        <w:jc w:val="both"/>
        <w:rPr>
          <w:rFonts w:ascii="Arial" w:hAnsi="Arial" w:cs="Arial"/>
          <w:b/>
          <w:bCs/>
          <w:lang w:val="en"/>
        </w:rPr>
      </w:pPr>
    </w:p>
    <w:p w:rsidR="00C2709B" w:rsidRDefault="00C2709B" w:rsidP="000650A3">
      <w:pPr>
        <w:spacing w:line="480" w:lineRule="auto"/>
        <w:ind w:firstLine="720"/>
        <w:jc w:val="both"/>
        <w:rPr>
          <w:rFonts w:ascii="Arial" w:hAnsi="Arial" w:cs="Arial"/>
          <w:b/>
          <w:bCs/>
          <w:lang w:val="en"/>
        </w:rPr>
      </w:pPr>
    </w:p>
    <w:p w:rsidR="00870D36" w:rsidRDefault="00870D36" w:rsidP="000650A3">
      <w:pPr>
        <w:spacing w:line="480" w:lineRule="auto"/>
        <w:ind w:firstLine="720"/>
        <w:jc w:val="both"/>
        <w:rPr>
          <w:rFonts w:ascii="Arial" w:hAnsi="Arial" w:cs="Arial"/>
          <w:lang w:val="en"/>
        </w:rPr>
      </w:pPr>
      <w:r w:rsidRPr="00870D36">
        <w:rPr>
          <w:rFonts w:ascii="Arial" w:hAnsi="Arial" w:cs="Arial"/>
          <w:lang w:val="en"/>
        </w:rPr>
        <w:t>(C) any issues about disclosure, discovery, or preservation of electronically stored information, including the form or forms in which it should be produced;</w:t>
      </w:r>
    </w:p>
    <w:p w:rsidR="00D371F6" w:rsidRPr="00870D36" w:rsidRDefault="00D371F6" w:rsidP="000650A3">
      <w:pPr>
        <w:spacing w:line="480" w:lineRule="auto"/>
        <w:ind w:firstLine="720"/>
        <w:jc w:val="both"/>
        <w:rPr>
          <w:rFonts w:ascii="Arial" w:hAnsi="Arial" w:cs="Arial"/>
          <w:b/>
          <w:bCs/>
          <w:lang w:val="en"/>
        </w:rPr>
      </w:pPr>
      <w:r w:rsidRPr="00870D36">
        <w:rPr>
          <w:rFonts w:ascii="Arial" w:hAnsi="Arial" w:cs="Arial"/>
          <w:b/>
          <w:bCs/>
          <w:lang w:val="en"/>
        </w:rPr>
        <w:t>RESPONSE:</w:t>
      </w:r>
    </w:p>
    <w:p w:rsidR="00870D36" w:rsidRDefault="00870D36" w:rsidP="000650A3">
      <w:pPr>
        <w:spacing w:line="480" w:lineRule="auto"/>
        <w:ind w:firstLine="720"/>
        <w:jc w:val="both"/>
        <w:rPr>
          <w:rFonts w:ascii="Arial" w:hAnsi="Arial" w:cs="Arial"/>
          <w:lang w:val="en"/>
        </w:rPr>
      </w:pPr>
    </w:p>
    <w:p w:rsidR="00C2709B" w:rsidRPr="00870D36" w:rsidRDefault="00C2709B" w:rsidP="000650A3">
      <w:pPr>
        <w:spacing w:line="480" w:lineRule="auto"/>
        <w:ind w:firstLine="720"/>
        <w:jc w:val="both"/>
        <w:rPr>
          <w:rFonts w:ascii="Arial" w:hAnsi="Arial" w:cs="Arial"/>
          <w:lang w:val="en"/>
        </w:rPr>
      </w:pPr>
    </w:p>
    <w:p w:rsidR="00870D36" w:rsidRPr="00870D36" w:rsidRDefault="00870D36" w:rsidP="000650A3">
      <w:pPr>
        <w:spacing w:line="480" w:lineRule="auto"/>
        <w:ind w:firstLine="720"/>
        <w:jc w:val="both"/>
        <w:rPr>
          <w:rFonts w:ascii="Arial" w:hAnsi="Arial" w:cs="Arial"/>
          <w:lang w:val="en"/>
        </w:rPr>
      </w:pPr>
      <w:r w:rsidRPr="00870D36">
        <w:rPr>
          <w:rFonts w:ascii="Arial" w:hAnsi="Arial" w:cs="Arial"/>
          <w:lang w:val="en"/>
        </w:rPr>
        <w:t>(D) any issues about claims of privilege or of protection as trial-preparation materials, including—if the parties agree on a procedure to assert these claims after production—whether to ask the court to include their agreement in an order under Federal Rule of Evidence 502;</w:t>
      </w:r>
    </w:p>
    <w:p w:rsidR="00D371F6" w:rsidRPr="00870D36" w:rsidRDefault="00D371F6" w:rsidP="000650A3">
      <w:pPr>
        <w:spacing w:line="480" w:lineRule="auto"/>
        <w:ind w:firstLine="720"/>
        <w:jc w:val="both"/>
        <w:rPr>
          <w:rFonts w:ascii="Arial" w:hAnsi="Arial" w:cs="Arial"/>
          <w:b/>
          <w:bCs/>
          <w:lang w:val="en"/>
        </w:rPr>
      </w:pPr>
      <w:r w:rsidRPr="00870D36">
        <w:rPr>
          <w:rFonts w:ascii="Arial" w:hAnsi="Arial" w:cs="Arial"/>
          <w:b/>
          <w:bCs/>
          <w:lang w:val="en"/>
        </w:rPr>
        <w:t>RESPONSE:</w:t>
      </w:r>
    </w:p>
    <w:p w:rsidR="00870D36" w:rsidRDefault="00870D36" w:rsidP="000650A3">
      <w:pPr>
        <w:spacing w:line="480" w:lineRule="auto"/>
        <w:ind w:firstLine="720"/>
        <w:jc w:val="both"/>
        <w:rPr>
          <w:rFonts w:ascii="Arial" w:hAnsi="Arial" w:cs="Arial"/>
          <w:lang w:val="en"/>
        </w:rPr>
      </w:pPr>
    </w:p>
    <w:p w:rsidR="00C2709B" w:rsidRPr="00870D36" w:rsidRDefault="00C2709B" w:rsidP="000650A3">
      <w:pPr>
        <w:spacing w:line="480" w:lineRule="auto"/>
        <w:ind w:firstLine="720"/>
        <w:jc w:val="both"/>
        <w:rPr>
          <w:rFonts w:ascii="Arial" w:hAnsi="Arial" w:cs="Arial"/>
          <w:lang w:val="en"/>
        </w:rPr>
      </w:pPr>
    </w:p>
    <w:p w:rsidR="00870D36" w:rsidRPr="00870D36" w:rsidRDefault="00870D36" w:rsidP="000650A3">
      <w:pPr>
        <w:spacing w:line="480" w:lineRule="auto"/>
        <w:ind w:firstLine="720"/>
        <w:jc w:val="both"/>
        <w:rPr>
          <w:rFonts w:ascii="Arial" w:hAnsi="Arial" w:cs="Arial"/>
          <w:lang w:val="en"/>
        </w:rPr>
      </w:pPr>
      <w:r w:rsidRPr="00870D36">
        <w:rPr>
          <w:rFonts w:ascii="Arial" w:hAnsi="Arial" w:cs="Arial"/>
          <w:lang w:val="en"/>
        </w:rPr>
        <w:t>(E) what changes should be made in the limitations on discovery imposed under these rules or by local rule, and what other limitations should be imposed;</w:t>
      </w:r>
    </w:p>
    <w:p w:rsidR="00D371F6" w:rsidRPr="00870D36" w:rsidRDefault="00D371F6" w:rsidP="000650A3">
      <w:pPr>
        <w:spacing w:line="480" w:lineRule="auto"/>
        <w:ind w:firstLine="720"/>
        <w:jc w:val="both"/>
        <w:rPr>
          <w:rFonts w:ascii="Arial" w:hAnsi="Arial" w:cs="Arial"/>
          <w:b/>
          <w:bCs/>
          <w:lang w:val="en"/>
        </w:rPr>
      </w:pPr>
      <w:r w:rsidRPr="00870D36">
        <w:rPr>
          <w:rFonts w:ascii="Arial" w:hAnsi="Arial" w:cs="Arial"/>
          <w:b/>
          <w:bCs/>
          <w:lang w:val="en"/>
        </w:rPr>
        <w:t>RESPONSE:</w:t>
      </w:r>
    </w:p>
    <w:p w:rsidR="00870D36" w:rsidRDefault="00870D36" w:rsidP="000650A3">
      <w:pPr>
        <w:spacing w:line="480" w:lineRule="auto"/>
        <w:ind w:firstLine="720"/>
        <w:jc w:val="both"/>
        <w:rPr>
          <w:rFonts w:ascii="Arial" w:hAnsi="Arial" w:cs="Arial"/>
          <w:lang w:val="en"/>
        </w:rPr>
      </w:pPr>
    </w:p>
    <w:p w:rsidR="00C2709B" w:rsidRPr="00870D36" w:rsidRDefault="00C2709B" w:rsidP="000650A3">
      <w:pPr>
        <w:spacing w:line="480" w:lineRule="auto"/>
        <w:ind w:firstLine="720"/>
        <w:jc w:val="both"/>
        <w:rPr>
          <w:rFonts w:ascii="Arial" w:hAnsi="Arial" w:cs="Arial"/>
          <w:lang w:val="en"/>
        </w:rPr>
      </w:pPr>
    </w:p>
    <w:p w:rsidR="00870D36" w:rsidRDefault="00870D36" w:rsidP="000650A3">
      <w:pPr>
        <w:spacing w:line="480" w:lineRule="auto"/>
        <w:ind w:firstLine="720"/>
        <w:jc w:val="both"/>
        <w:rPr>
          <w:rFonts w:ascii="Arial" w:hAnsi="Arial" w:cs="Arial"/>
          <w:lang w:val="en"/>
        </w:rPr>
      </w:pPr>
      <w:r w:rsidRPr="00870D36">
        <w:rPr>
          <w:rFonts w:ascii="Arial" w:hAnsi="Arial" w:cs="Arial"/>
          <w:lang w:val="en"/>
        </w:rPr>
        <w:t>(F) any other orders that the court should issue under Rule 26(c)</w:t>
      </w:r>
      <w:r w:rsidR="00457860">
        <w:rPr>
          <w:rFonts w:ascii="Arial" w:hAnsi="Arial" w:cs="Arial"/>
          <w:lang w:val="en"/>
        </w:rPr>
        <w:t>(1)</w:t>
      </w:r>
      <w:r w:rsidR="003A1678">
        <w:rPr>
          <w:rFonts w:ascii="Arial" w:hAnsi="Arial" w:cs="Arial"/>
          <w:lang w:val="en"/>
        </w:rPr>
        <w:t xml:space="preserve">, </w:t>
      </w:r>
      <w:r w:rsidRPr="00870D36">
        <w:rPr>
          <w:rFonts w:ascii="Arial" w:hAnsi="Arial" w:cs="Arial"/>
          <w:lang w:val="en"/>
        </w:rPr>
        <w:t>Rule 16(b)</w:t>
      </w:r>
      <w:r w:rsidR="00D371F6">
        <w:rPr>
          <w:rFonts w:ascii="Arial" w:hAnsi="Arial" w:cs="Arial"/>
          <w:lang w:val="en"/>
        </w:rPr>
        <w:t>(3)</w:t>
      </w:r>
      <w:r w:rsidRPr="00870D36">
        <w:rPr>
          <w:rFonts w:ascii="Arial" w:hAnsi="Arial" w:cs="Arial"/>
          <w:lang w:val="en"/>
        </w:rPr>
        <w:t xml:space="preserve"> </w:t>
      </w:r>
      <w:r w:rsidR="003A1678">
        <w:rPr>
          <w:rFonts w:ascii="Arial" w:hAnsi="Arial" w:cs="Arial"/>
          <w:lang w:val="en"/>
        </w:rPr>
        <w:t>or</w:t>
      </w:r>
      <w:r w:rsidRPr="00870D36">
        <w:rPr>
          <w:rFonts w:ascii="Arial" w:hAnsi="Arial" w:cs="Arial"/>
          <w:lang w:val="en"/>
        </w:rPr>
        <w:t xml:space="preserve"> </w:t>
      </w:r>
      <w:r w:rsidR="003A1678">
        <w:rPr>
          <w:rFonts w:ascii="Arial" w:hAnsi="Arial" w:cs="Arial"/>
          <w:lang w:val="en"/>
        </w:rPr>
        <w:t xml:space="preserve">Rule </w:t>
      </w:r>
      <w:r w:rsidR="00D371F6">
        <w:rPr>
          <w:rFonts w:ascii="Arial" w:hAnsi="Arial" w:cs="Arial"/>
          <w:lang w:val="en"/>
        </w:rPr>
        <w:t>16</w:t>
      </w:r>
      <w:r w:rsidRPr="00870D36">
        <w:rPr>
          <w:rFonts w:ascii="Arial" w:hAnsi="Arial" w:cs="Arial"/>
          <w:lang w:val="en"/>
        </w:rPr>
        <w:t>(c)</w:t>
      </w:r>
      <w:r w:rsidR="00D371F6">
        <w:rPr>
          <w:rFonts w:ascii="Arial" w:hAnsi="Arial" w:cs="Arial"/>
          <w:lang w:val="en"/>
        </w:rPr>
        <w:t>(2)</w:t>
      </w:r>
      <w:r w:rsidRPr="00870D36">
        <w:rPr>
          <w:rFonts w:ascii="Arial" w:hAnsi="Arial" w:cs="Arial"/>
          <w:lang w:val="en"/>
        </w:rPr>
        <w:t>.</w:t>
      </w:r>
    </w:p>
    <w:p w:rsidR="00D371F6" w:rsidRPr="00870D36" w:rsidRDefault="00D371F6" w:rsidP="000650A3">
      <w:pPr>
        <w:spacing w:line="480" w:lineRule="auto"/>
        <w:ind w:firstLine="720"/>
        <w:jc w:val="both"/>
        <w:rPr>
          <w:rFonts w:ascii="Arial" w:hAnsi="Arial" w:cs="Arial"/>
          <w:b/>
          <w:bCs/>
          <w:lang w:val="en"/>
        </w:rPr>
      </w:pPr>
      <w:r w:rsidRPr="00870D36">
        <w:rPr>
          <w:rFonts w:ascii="Arial" w:hAnsi="Arial" w:cs="Arial"/>
          <w:b/>
          <w:bCs/>
          <w:lang w:val="en"/>
        </w:rPr>
        <w:t>RESPONSE:</w:t>
      </w:r>
    </w:p>
    <w:p w:rsidR="00870D36" w:rsidRDefault="00870D36" w:rsidP="000650A3">
      <w:pPr>
        <w:spacing w:line="480" w:lineRule="auto"/>
        <w:ind w:firstLine="720"/>
        <w:jc w:val="both"/>
        <w:rPr>
          <w:rFonts w:ascii="Arial" w:hAnsi="Arial" w:cs="Arial"/>
          <w:lang w:val="en"/>
        </w:rPr>
      </w:pPr>
    </w:p>
    <w:p w:rsidR="00C2709B" w:rsidRDefault="00C2709B" w:rsidP="000650A3">
      <w:pPr>
        <w:spacing w:line="480" w:lineRule="auto"/>
        <w:ind w:firstLine="720"/>
        <w:jc w:val="both"/>
        <w:rPr>
          <w:rFonts w:ascii="Arial" w:hAnsi="Arial" w:cs="Arial"/>
          <w:lang w:val="en"/>
        </w:rPr>
      </w:pPr>
    </w:p>
    <w:p w:rsidR="00F25A1B" w:rsidRPr="00313311" w:rsidRDefault="00F25A1B" w:rsidP="000650A3">
      <w:pPr>
        <w:pStyle w:val="ListParagraph"/>
        <w:keepNext/>
        <w:numPr>
          <w:ilvl w:val="0"/>
          <w:numId w:val="7"/>
        </w:numPr>
        <w:spacing w:line="480" w:lineRule="auto"/>
        <w:ind w:left="720"/>
        <w:jc w:val="both"/>
        <w:rPr>
          <w:rFonts w:ascii="Arial" w:hAnsi="Arial" w:cs="Arial"/>
          <w:b/>
          <w:bCs/>
          <w:lang w:val="en"/>
        </w:rPr>
      </w:pPr>
      <w:r w:rsidRPr="00313311">
        <w:rPr>
          <w:rFonts w:ascii="Arial" w:hAnsi="Arial" w:cs="Arial"/>
          <w:b/>
          <w:bCs/>
          <w:lang w:val="en"/>
        </w:rPr>
        <w:t>Expectations for the Rule 26(f)(2) conference</w:t>
      </w:r>
      <w:r w:rsidR="00AF7213">
        <w:rPr>
          <w:rFonts w:ascii="Arial" w:hAnsi="Arial" w:cs="Arial"/>
          <w:b/>
          <w:bCs/>
          <w:lang w:val="en"/>
        </w:rPr>
        <w:t xml:space="preserve"> and Rule 26(f)(3) discovery plan</w:t>
      </w:r>
    </w:p>
    <w:p w:rsidR="00884C69" w:rsidRDefault="00884C69" w:rsidP="000650A3">
      <w:pPr>
        <w:keepNext/>
        <w:spacing w:line="480" w:lineRule="auto"/>
        <w:ind w:firstLine="720"/>
        <w:jc w:val="both"/>
        <w:rPr>
          <w:rFonts w:ascii="Arial" w:hAnsi="Arial" w:cs="Arial"/>
          <w:lang w:val="en"/>
        </w:rPr>
      </w:pPr>
      <w:r w:rsidRPr="00884C69">
        <w:rPr>
          <w:rFonts w:ascii="Arial" w:hAnsi="Arial" w:cs="Arial"/>
          <w:lang w:val="en"/>
        </w:rPr>
        <w:t xml:space="preserve">Mindful of their obligation to construe and employ </w:t>
      </w:r>
      <w:r w:rsidR="00BF176B">
        <w:rPr>
          <w:rFonts w:ascii="Arial" w:hAnsi="Arial" w:cs="Arial"/>
          <w:lang w:val="en"/>
        </w:rPr>
        <w:t xml:space="preserve">both </w:t>
      </w:r>
      <w:r w:rsidRPr="00884C69">
        <w:rPr>
          <w:rFonts w:ascii="Arial" w:hAnsi="Arial" w:cs="Arial"/>
          <w:lang w:val="en"/>
        </w:rPr>
        <w:t>the federal and local rules to secure the just, speedy, and inexpensive disposition of this action (</w:t>
      </w:r>
      <w:r w:rsidRPr="00884C69">
        <w:rPr>
          <w:rFonts w:ascii="Arial" w:hAnsi="Arial" w:cs="Arial"/>
          <w:i/>
          <w:iCs/>
          <w:lang w:val="en"/>
        </w:rPr>
        <w:t>see</w:t>
      </w:r>
      <w:r w:rsidRPr="00884C69">
        <w:rPr>
          <w:rFonts w:ascii="Arial" w:hAnsi="Arial" w:cs="Arial"/>
          <w:lang w:val="en"/>
        </w:rPr>
        <w:t xml:space="preserve"> Rules 1; 16(c)(2)(P))</w:t>
      </w:r>
      <w:r>
        <w:rPr>
          <w:rFonts w:ascii="Arial" w:hAnsi="Arial" w:cs="Arial"/>
          <w:lang w:val="en"/>
        </w:rPr>
        <w:t>, t</w:t>
      </w:r>
      <w:r w:rsidR="00F25A1B">
        <w:rPr>
          <w:rFonts w:ascii="Arial" w:hAnsi="Arial" w:cs="Arial"/>
          <w:lang w:val="en"/>
        </w:rPr>
        <w:t xml:space="preserve">he parties are </w:t>
      </w:r>
      <w:r w:rsidR="00302C12">
        <w:rPr>
          <w:rFonts w:ascii="Arial" w:hAnsi="Arial" w:cs="Arial"/>
          <w:lang w:val="en"/>
        </w:rPr>
        <w:t xml:space="preserve">to thoughtfully consider the proportional needs of this case </w:t>
      </w:r>
      <w:r w:rsidR="00AC7E23">
        <w:rPr>
          <w:rFonts w:ascii="Arial" w:hAnsi="Arial" w:cs="Arial"/>
          <w:lang w:val="en"/>
        </w:rPr>
        <w:t>given</w:t>
      </w:r>
      <w:r w:rsidR="00302C12">
        <w:rPr>
          <w:rFonts w:ascii="Arial" w:hAnsi="Arial" w:cs="Arial"/>
          <w:lang w:val="en"/>
        </w:rPr>
        <w:t xml:space="preserve"> the claims, defenses and other considerations set forth in Rule 26(b)(1), and</w:t>
      </w:r>
      <w:r w:rsidR="00313311">
        <w:rPr>
          <w:rFonts w:ascii="Arial" w:hAnsi="Arial" w:cs="Arial"/>
          <w:lang w:val="en"/>
        </w:rPr>
        <w:t xml:space="preserve"> </w:t>
      </w:r>
      <w:r w:rsidR="00302C12">
        <w:rPr>
          <w:rFonts w:ascii="Arial" w:hAnsi="Arial" w:cs="Arial"/>
          <w:lang w:val="en"/>
        </w:rPr>
        <w:t xml:space="preserve">engage in a meaningful </w:t>
      </w:r>
      <w:r w:rsidR="00313311">
        <w:rPr>
          <w:rFonts w:ascii="Arial" w:hAnsi="Arial" w:cs="Arial"/>
          <w:lang w:val="en"/>
        </w:rPr>
        <w:t xml:space="preserve">and appropriate </w:t>
      </w:r>
      <w:r w:rsidR="00302C12">
        <w:rPr>
          <w:rFonts w:ascii="Arial" w:hAnsi="Arial" w:cs="Arial"/>
          <w:lang w:val="en"/>
        </w:rPr>
        <w:t xml:space="preserve">discussion </w:t>
      </w:r>
      <w:r w:rsidR="00313311">
        <w:rPr>
          <w:rFonts w:ascii="Arial" w:hAnsi="Arial" w:cs="Arial"/>
          <w:lang w:val="en"/>
        </w:rPr>
        <w:t xml:space="preserve">of </w:t>
      </w:r>
      <w:r w:rsidR="00302C12">
        <w:rPr>
          <w:rFonts w:ascii="Arial" w:hAnsi="Arial" w:cs="Arial"/>
          <w:lang w:val="en"/>
        </w:rPr>
        <w:t xml:space="preserve">the full </w:t>
      </w:r>
      <w:r w:rsidR="00313311">
        <w:rPr>
          <w:rFonts w:ascii="Arial" w:hAnsi="Arial" w:cs="Arial"/>
          <w:lang w:val="en"/>
        </w:rPr>
        <w:t>collection of issues identified in Rules 16(b)(3), 16(c)(2), 26(f)(2) and 26(f)(3).</w:t>
      </w:r>
    </w:p>
    <w:p w:rsidR="00F25A1B" w:rsidRDefault="00313311" w:rsidP="000650A3">
      <w:pPr>
        <w:spacing w:line="480" w:lineRule="auto"/>
        <w:ind w:firstLine="720"/>
        <w:jc w:val="both"/>
        <w:rPr>
          <w:rFonts w:ascii="Arial" w:hAnsi="Arial" w:cs="Arial"/>
          <w:lang w:val="en"/>
        </w:rPr>
      </w:pPr>
      <w:r>
        <w:rPr>
          <w:rFonts w:ascii="Arial" w:hAnsi="Arial" w:cs="Arial"/>
          <w:lang w:val="en"/>
        </w:rPr>
        <w:t xml:space="preserve"> </w:t>
      </w:r>
      <w:r w:rsidR="003B2A94">
        <w:rPr>
          <w:rFonts w:ascii="Arial" w:hAnsi="Arial" w:cs="Arial"/>
          <w:lang w:val="en"/>
        </w:rPr>
        <w:t xml:space="preserve">When reasonably feasible, the parties are strongly encouraged to include at least one in-person meeting of the parties </w:t>
      </w:r>
      <w:r w:rsidR="00B03698">
        <w:rPr>
          <w:rFonts w:ascii="Arial" w:hAnsi="Arial" w:cs="Arial"/>
          <w:lang w:val="en"/>
        </w:rPr>
        <w:t xml:space="preserve">or their counsel </w:t>
      </w:r>
      <w:r w:rsidR="003B2A94">
        <w:rPr>
          <w:rFonts w:ascii="Arial" w:hAnsi="Arial" w:cs="Arial"/>
          <w:lang w:val="en"/>
        </w:rPr>
        <w:t>during the Rule 26(f)(2) process</w:t>
      </w:r>
      <w:r w:rsidR="00B03698">
        <w:rPr>
          <w:rFonts w:ascii="Arial" w:hAnsi="Arial" w:cs="Arial"/>
          <w:lang w:val="en"/>
        </w:rPr>
        <w:t>, and to utilize forms of videoconferencing rather than making exclusive use of telephonic conferences.  T</w:t>
      </w:r>
      <w:r w:rsidR="003E34FF">
        <w:rPr>
          <w:rFonts w:ascii="Arial" w:hAnsi="Arial" w:cs="Arial"/>
          <w:lang w:val="en"/>
        </w:rPr>
        <w:t>o the extent that things like confidentiality agreements, protocols for searching or producing electronically stored information, HIPAA protective orders, or Rule 502(d) orders may be appropriate, the parties are expected to exchange drafts before the Rule 26(f)(2) conference and reduce them to stipulations during or immediately thereafter.</w:t>
      </w:r>
      <w:r w:rsidR="00AF7213">
        <w:rPr>
          <w:rFonts w:ascii="Arial" w:hAnsi="Arial" w:cs="Arial"/>
          <w:lang w:val="en"/>
        </w:rPr>
        <w:t xml:space="preserve">  Other than HIPAA protective or Rule 502(d) orders, the Court does not adopt or endorse confidentiality or other discovery agreements as protective orders, but the Court will enforce reasonable provisions of such agreements.</w:t>
      </w:r>
      <w:r w:rsidR="00BB3E2E" w:rsidRPr="00BB3E2E">
        <w:rPr>
          <w:rStyle w:val="FootnoteReference"/>
          <w:rFonts w:ascii="Arial" w:hAnsi="Arial" w:cs="Arial"/>
          <w:vertAlign w:val="superscript"/>
          <w:lang w:val="en"/>
        </w:rPr>
        <w:footnoteReference w:id="2"/>
      </w:r>
    </w:p>
    <w:p w:rsidR="00AF7213" w:rsidRDefault="00AF7213" w:rsidP="000650A3">
      <w:pPr>
        <w:spacing w:line="480" w:lineRule="auto"/>
        <w:ind w:firstLine="720"/>
        <w:jc w:val="both"/>
        <w:rPr>
          <w:rFonts w:ascii="Arial" w:hAnsi="Arial" w:cs="Arial"/>
          <w:lang w:val="en"/>
        </w:rPr>
      </w:pPr>
      <w:r>
        <w:rPr>
          <w:rFonts w:ascii="Arial" w:hAnsi="Arial" w:cs="Arial"/>
          <w:lang w:val="en"/>
        </w:rPr>
        <w:t xml:space="preserve">If the parties submit an incomplete or perfunctory discovery plan or case </w:t>
      </w:r>
      <w:r>
        <w:rPr>
          <w:rFonts w:ascii="Arial" w:hAnsi="Arial" w:cs="Arial"/>
          <w:lang w:val="en"/>
        </w:rPr>
        <w:lastRenderedPageBreak/>
        <w:t>management report, the Court may strike any such item and require the parties to meet in person and resubmit.</w:t>
      </w:r>
    </w:p>
    <w:p w:rsidR="00BF176B" w:rsidRDefault="00BF176B" w:rsidP="000650A3">
      <w:pPr>
        <w:spacing w:line="480" w:lineRule="auto"/>
        <w:ind w:firstLine="720"/>
        <w:jc w:val="both"/>
        <w:rPr>
          <w:rFonts w:ascii="Arial" w:hAnsi="Arial" w:cs="Arial"/>
          <w:lang w:val="en"/>
        </w:rPr>
      </w:pPr>
      <w:r w:rsidRPr="000A0C39">
        <w:rPr>
          <w:rFonts w:ascii="Arial" w:hAnsi="Arial" w:cs="Arial"/>
          <w:b/>
          <w:bCs/>
          <w:lang w:val="en"/>
        </w:rPr>
        <w:t>T</w:t>
      </w:r>
      <w:r w:rsidR="0071734C" w:rsidRPr="000A0C39">
        <w:rPr>
          <w:rFonts w:ascii="Arial" w:hAnsi="Arial" w:cs="Arial"/>
          <w:b/>
          <w:bCs/>
          <w:lang w:val="en"/>
        </w:rPr>
        <w:t xml:space="preserve">he following </w:t>
      </w:r>
      <w:r w:rsidRPr="000A0C39">
        <w:rPr>
          <w:rFonts w:ascii="Arial" w:hAnsi="Arial" w:cs="Arial"/>
          <w:b/>
          <w:bCs/>
          <w:lang w:val="en"/>
        </w:rPr>
        <w:t>individuals</w:t>
      </w:r>
      <w:r w:rsidR="00A3677C" w:rsidRPr="000A0C39">
        <w:rPr>
          <w:rFonts w:ascii="Arial" w:hAnsi="Arial" w:cs="Arial"/>
          <w:b/>
          <w:bCs/>
          <w:lang w:val="en"/>
        </w:rPr>
        <w:t xml:space="preserve"> </w:t>
      </w:r>
      <w:r w:rsidRPr="000A0C39">
        <w:rPr>
          <w:rFonts w:ascii="Arial" w:hAnsi="Arial" w:cs="Arial"/>
          <w:b/>
          <w:bCs/>
          <w:lang w:val="en"/>
        </w:rPr>
        <w:t xml:space="preserve">participated in the Rule 26(f)(2) </w:t>
      </w:r>
      <w:r w:rsidR="00A3677C" w:rsidRPr="000A0C39">
        <w:rPr>
          <w:rFonts w:ascii="Arial" w:hAnsi="Arial" w:cs="Arial"/>
          <w:b/>
          <w:bCs/>
          <w:iCs/>
          <w:lang w:val="en"/>
        </w:rPr>
        <w:t>confer</w:t>
      </w:r>
      <w:r w:rsidRPr="000A0C39">
        <w:rPr>
          <w:rFonts w:ascii="Arial" w:hAnsi="Arial" w:cs="Arial"/>
          <w:b/>
          <w:bCs/>
          <w:iCs/>
          <w:lang w:val="en"/>
        </w:rPr>
        <w:t>ence(s)</w:t>
      </w:r>
      <w:r w:rsidR="00A3677C" w:rsidRPr="00BF176B">
        <w:rPr>
          <w:rFonts w:ascii="Arial" w:hAnsi="Arial" w:cs="Arial"/>
          <w:lang w:val="en"/>
        </w:rPr>
        <w:t xml:space="preserve"> </w:t>
      </w:r>
      <w:r w:rsidR="00A3677C">
        <w:rPr>
          <w:rFonts w:ascii="Arial" w:hAnsi="Arial" w:cs="Arial"/>
          <w:lang w:val="en"/>
        </w:rPr>
        <w:t>in person or by videoconference or phone</w:t>
      </w:r>
      <w:r>
        <w:rPr>
          <w:rFonts w:ascii="Arial" w:hAnsi="Arial" w:cs="Arial"/>
          <w:lang w:val="en"/>
        </w:rPr>
        <w:t>:</w:t>
      </w:r>
      <w:r w:rsidR="00D25DCB" w:rsidRPr="00D25DCB">
        <w:rPr>
          <w:rStyle w:val="FootnoteReference"/>
          <w:rFonts w:ascii="Arial" w:hAnsi="Arial" w:cs="Arial"/>
          <w:vertAlign w:val="superscript"/>
          <w:lang w:val="en"/>
        </w:rPr>
        <w:footnoteReference w:id="3"/>
      </w:r>
    </w:p>
    <w:p w:rsidR="0071734C" w:rsidRDefault="00D25DCB" w:rsidP="000650A3">
      <w:pPr>
        <w:spacing w:line="480" w:lineRule="auto"/>
        <w:jc w:val="both"/>
        <w:rPr>
          <w:rFonts w:ascii="Arial" w:hAnsi="Arial" w:cs="Arial"/>
          <w:lang w:val="en"/>
        </w:rPr>
      </w:pPr>
      <w:r>
        <w:rPr>
          <w:rFonts w:ascii="Arial" w:hAnsi="Arial" w:cs="Arial"/>
          <w:lang w:val="en"/>
        </w:rPr>
        <w:tab/>
      </w:r>
    </w:p>
    <w:p w:rsidR="00C2709B" w:rsidRDefault="00C2709B" w:rsidP="000650A3">
      <w:pPr>
        <w:spacing w:line="480" w:lineRule="auto"/>
        <w:jc w:val="both"/>
        <w:rPr>
          <w:rFonts w:ascii="Arial" w:hAnsi="Arial" w:cs="Arial"/>
          <w:lang w:val="en"/>
        </w:rPr>
      </w:pPr>
    </w:p>
    <w:p w:rsidR="00AF7213" w:rsidRDefault="00420668" w:rsidP="000650A3">
      <w:pPr>
        <w:pStyle w:val="ListParagraph"/>
        <w:keepNext/>
        <w:numPr>
          <w:ilvl w:val="0"/>
          <w:numId w:val="7"/>
        </w:numPr>
        <w:spacing w:line="480" w:lineRule="auto"/>
        <w:ind w:left="720"/>
        <w:jc w:val="both"/>
        <w:rPr>
          <w:rFonts w:ascii="Arial" w:hAnsi="Arial" w:cs="Arial"/>
          <w:b/>
          <w:bCs/>
          <w:lang w:val="en"/>
        </w:rPr>
      </w:pPr>
      <w:r>
        <w:rPr>
          <w:rFonts w:ascii="Arial" w:hAnsi="Arial" w:cs="Arial"/>
          <w:b/>
          <w:bCs/>
          <w:lang w:val="en"/>
        </w:rPr>
        <w:t>The continuing duty to confer and update the Court</w:t>
      </w:r>
    </w:p>
    <w:p w:rsidR="00F562A5" w:rsidRDefault="00F562A5" w:rsidP="000650A3">
      <w:pPr>
        <w:keepNext/>
        <w:spacing w:line="480" w:lineRule="auto"/>
        <w:ind w:firstLine="720"/>
        <w:jc w:val="both"/>
        <w:rPr>
          <w:rFonts w:ascii="Arial" w:hAnsi="Arial" w:cs="Arial"/>
          <w:lang w:val="en"/>
        </w:rPr>
      </w:pPr>
      <w:r>
        <w:rPr>
          <w:rFonts w:ascii="Arial" w:hAnsi="Arial" w:cs="Arial"/>
          <w:lang w:val="en"/>
        </w:rPr>
        <w:t xml:space="preserve">After a motion is filed, </w:t>
      </w:r>
      <w:r w:rsidR="002423D2">
        <w:rPr>
          <w:rFonts w:ascii="Arial" w:hAnsi="Arial" w:cs="Arial"/>
          <w:lang w:val="en"/>
        </w:rPr>
        <w:t>and so long as it remains pending, the parties have a mutual obligation to continue to confer in good faith to narrow or resolve the issue(s) presented and promptly apprise the Court of any issue(s) that no longer need disposition.</w:t>
      </w:r>
    </w:p>
    <w:p w:rsidR="002423D2" w:rsidRDefault="002423D2" w:rsidP="000650A3">
      <w:pPr>
        <w:spacing w:line="480" w:lineRule="auto"/>
        <w:ind w:firstLine="720"/>
        <w:jc w:val="both"/>
        <w:rPr>
          <w:rFonts w:ascii="Arial" w:hAnsi="Arial" w:cs="Arial"/>
          <w:lang w:val="en"/>
        </w:rPr>
      </w:pPr>
      <w:r>
        <w:rPr>
          <w:rFonts w:ascii="Arial" w:hAnsi="Arial" w:cs="Arial"/>
          <w:lang w:val="en"/>
        </w:rPr>
        <w:t xml:space="preserve">To properly discharge their Local Rule 3.01(g) obligation, movants must confer not only with the parties to the action but also any non-party </w:t>
      </w:r>
      <w:r w:rsidR="0047041D">
        <w:rPr>
          <w:rFonts w:ascii="Arial" w:hAnsi="Arial" w:cs="Arial"/>
          <w:lang w:val="en"/>
        </w:rPr>
        <w:t>against</w:t>
      </w:r>
      <w:r>
        <w:rPr>
          <w:rFonts w:ascii="Arial" w:hAnsi="Arial" w:cs="Arial"/>
          <w:lang w:val="en"/>
        </w:rPr>
        <w:t xml:space="preserve"> which any relief is requested</w:t>
      </w:r>
      <w:r w:rsidR="0047041D">
        <w:rPr>
          <w:rFonts w:ascii="Arial" w:hAnsi="Arial" w:cs="Arial"/>
          <w:lang w:val="en"/>
        </w:rPr>
        <w:t>.</w:t>
      </w:r>
    </w:p>
    <w:p w:rsidR="00F562A5" w:rsidRPr="00F562A5" w:rsidRDefault="00420668" w:rsidP="000650A3">
      <w:pPr>
        <w:pStyle w:val="ListParagraph"/>
        <w:keepNext/>
        <w:numPr>
          <w:ilvl w:val="0"/>
          <w:numId w:val="7"/>
        </w:numPr>
        <w:spacing w:line="480" w:lineRule="auto"/>
        <w:ind w:left="720"/>
        <w:jc w:val="both"/>
        <w:rPr>
          <w:rFonts w:ascii="Arial" w:hAnsi="Arial" w:cs="Arial"/>
          <w:b/>
          <w:bCs/>
          <w:lang w:val="en"/>
        </w:rPr>
      </w:pPr>
      <w:r w:rsidRPr="00F562A5">
        <w:rPr>
          <w:rFonts w:ascii="Arial" w:hAnsi="Arial" w:cs="Arial"/>
          <w:b/>
          <w:bCs/>
          <w:lang w:val="en"/>
        </w:rPr>
        <w:t>Emergency motions</w:t>
      </w:r>
    </w:p>
    <w:p w:rsidR="00073E75" w:rsidRPr="00F562A5" w:rsidRDefault="00895306" w:rsidP="000650A3">
      <w:pPr>
        <w:keepNext/>
        <w:spacing w:line="480" w:lineRule="auto"/>
        <w:ind w:firstLine="720"/>
        <w:jc w:val="both"/>
        <w:rPr>
          <w:rFonts w:ascii="Arial" w:hAnsi="Arial" w:cs="Arial"/>
          <w:lang w:val="en"/>
        </w:rPr>
      </w:pPr>
      <w:r>
        <w:rPr>
          <w:rFonts w:ascii="Arial" w:hAnsi="Arial" w:cs="Arial"/>
          <w:lang w:val="en"/>
        </w:rPr>
        <w:t>Before filing a motion designated as an “emergency,” the movant must review Local Rule 3.01(e)</w:t>
      </w:r>
      <w:r w:rsidR="00CD36D3">
        <w:rPr>
          <w:rFonts w:ascii="Arial" w:hAnsi="Arial" w:cs="Arial"/>
          <w:lang w:val="en"/>
        </w:rPr>
        <w:t xml:space="preserve">, </w:t>
      </w:r>
      <w:r w:rsidR="00CD36D3" w:rsidRPr="00CD36D3">
        <w:rPr>
          <w:rFonts w:ascii="Arial" w:hAnsi="Arial" w:cs="Arial"/>
          <w:i/>
          <w:iCs/>
          <w:lang w:val="en"/>
        </w:rPr>
        <w:t>Henry v. The Fla. Bar</w:t>
      </w:r>
      <w:r w:rsidR="00CD36D3" w:rsidRPr="00CD36D3">
        <w:rPr>
          <w:rFonts w:ascii="Arial" w:hAnsi="Arial" w:cs="Arial"/>
          <w:lang w:val="en"/>
        </w:rPr>
        <w:t>, No. 6</w:t>
      </w:r>
      <w:r w:rsidR="00157F8C">
        <w:rPr>
          <w:rFonts w:ascii="Arial" w:hAnsi="Arial" w:cs="Arial"/>
          <w:lang w:val="en"/>
        </w:rPr>
        <w:t>:</w:t>
      </w:r>
      <w:r w:rsidR="00CD36D3" w:rsidRPr="00CD36D3">
        <w:rPr>
          <w:rFonts w:ascii="Arial" w:hAnsi="Arial" w:cs="Arial"/>
          <w:lang w:val="en"/>
        </w:rPr>
        <w:t>15</w:t>
      </w:r>
      <w:r w:rsidR="00157F8C">
        <w:rPr>
          <w:rFonts w:ascii="Arial" w:hAnsi="Arial" w:cs="Arial"/>
          <w:lang w:val="en"/>
        </w:rPr>
        <w:t>-</w:t>
      </w:r>
      <w:r w:rsidR="00D967EF">
        <w:rPr>
          <w:rFonts w:ascii="Arial" w:hAnsi="Arial" w:cs="Arial"/>
          <w:lang w:val="en"/>
        </w:rPr>
        <w:t>cv</w:t>
      </w:r>
      <w:r w:rsidR="00157F8C">
        <w:rPr>
          <w:rFonts w:ascii="Arial" w:hAnsi="Arial" w:cs="Arial"/>
          <w:lang w:val="en"/>
        </w:rPr>
        <w:t>-</w:t>
      </w:r>
      <w:r w:rsidR="00CD36D3" w:rsidRPr="00CD36D3">
        <w:rPr>
          <w:rFonts w:ascii="Arial" w:hAnsi="Arial" w:cs="Arial"/>
          <w:lang w:val="en"/>
        </w:rPr>
        <w:t>1009</w:t>
      </w:r>
      <w:r w:rsidR="00157F8C">
        <w:rPr>
          <w:rFonts w:ascii="Arial" w:hAnsi="Arial" w:cs="Arial"/>
          <w:lang w:val="en"/>
        </w:rPr>
        <w:t>-</w:t>
      </w:r>
      <w:r w:rsidR="00CD36D3" w:rsidRPr="00CD36D3">
        <w:rPr>
          <w:rFonts w:ascii="Arial" w:hAnsi="Arial" w:cs="Arial"/>
          <w:lang w:val="en"/>
        </w:rPr>
        <w:t>ORL</w:t>
      </w:r>
      <w:r w:rsidR="00157F8C">
        <w:rPr>
          <w:rFonts w:ascii="Arial" w:hAnsi="Arial" w:cs="Arial"/>
          <w:lang w:val="en"/>
        </w:rPr>
        <w:t>-</w:t>
      </w:r>
      <w:r w:rsidR="00CD36D3" w:rsidRPr="00CD36D3">
        <w:rPr>
          <w:rFonts w:ascii="Arial" w:hAnsi="Arial" w:cs="Arial"/>
          <w:lang w:val="en"/>
        </w:rPr>
        <w:t>41TBS, 2015 WL 13590158 (M.D. Fla. Sept. 28, 2015)</w:t>
      </w:r>
      <w:r w:rsidR="00CD36D3">
        <w:rPr>
          <w:rFonts w:ascii="Arial" w:hAnsi="Arial" w:cs="Arial"/>
          <w:lang w:val="en"/>
        </w:rPr>
        <w:t>, and</w:t>
      </w:r>
      <w:r w:rsidR="00CD36D3" w:rsidRPr="00CD36D3">
        <w:t xml:space="preserve"> </w:t>
      </w:r>
      <w:proofErr w:type="spellStart"/>
      <w:r w:rsidR="00CD36D3" w:rsidRPr="00CD36D3">
        <w:rPr>
          <w:rFonts w:ascii="Arial" w:hAnsi="Arial" w:cs="Arial"/>
          <w:i/>
          <w:iCs/>
          <w:lang w:val="en"/>
        </w:rPr>
        <w:t>Wiand</w:t>
      </w:r>
      <w:proofErr w:type="spellEnd"/>
      <w:r w:rsidR="00CD36D3" w:rsidRPr="00CD36D3">
        <w:rPr>
          <w:rFonts w:ascii="Arial" w:hAnsi="Arial" w:cs="Arial"/>
          <w:i/>
          <w:iCs/>
          <w:lang w:val="en"/>
        </w:rPr>
        <w:t xml:space="preserve"> v. Wells Fargo Bank, N.A.</w:t>
      </w:r>
      <w:r w:rsidR="00CD36D3" w:rsidRPr="00CD36D3">
        <w:rPr>
          <w:rFonts w:ascii="Arial" w:hAnsi="Arial" w:cs="Arial"/>
          <w:lang w:val="en"/>
        </w:rPr>
        <w:t>, No. 8</w:t>
      </w:r>
      <w:r w:rsidR="00157F8C">
        <w:rPr>
          <w:rFonts w:ascii="Arial" w:hAnsi="Arial" w:cs="Arial"/>
          <w:lang w:val="en"/>
        </w:rPr>
        <w:t>:</w:t>
      </w:r>
      <w:r w:rsidR="00CD36D3" w:rsidRPr="00CD36D3">
        <w:rPr>
          <w:rFonts w:ascii="Arial" w:hAnsi="Arial" w:cs="Arial"/>
          <w:lang w:val="en"/>
        </w:rPr>
        <w:t>12</w:t>
      </w:r>
      <w:r w:rsidR="00D967EF">
        <w:rPr>
          <w:rFonts w:ascii="Arial" w:hAnsi="Arial" w:cs="Arial"/>
          <w:lang w:val="en"/>
        </w:rPr>
        <w:t>-cv</w:t>
      </w:r>
      <w:r w:rsidR="00157F8C">
        <w:rPr>
          <w:rFonts w:ascii="Arial" w:hAnsi="Arial" w:cs="Arial"/>
          <w:lang w:val="en"/>
        </w:rPr>
        <w:t>-</w:t>
      </w:r>
      <w:r w:rsidR="00CD36D3" w:rsidRPr="00CD36D3">
        <w:rPr>
          <w:rFonts w:ascii="Arial" w:hAnsi="Arial" w:cs="Arial"/>
          <w:lang w:val="en"/>
        </w:rPr>
        <w:t>00557</w:t>
      </w:r>
      <w:r w:rsidR="00157F8C">
        <w:rPr>
          <w:rFonts w:ascii="Arial" w:hAnsi="Arial" w:cs="Arial"/>
          <w:lang w:val="en"/>
        </w:rPr>
        <w:t>-</w:t>
      </w:r>
      <w:r w:rsidR="00CD36D3" w:rsidRPr="00CD36D3">
        <w:rPr>
          <w:rFonts w:ascii="Arial" w:hAnsi="Arial" w:cs="Arial"/>
          <w:lang w:val="en"/>
        </w:rPr>
        <w:t>T</w:t>
      </w:r>
      <w:r w:rsidR="00157F8C">
        <w:rPr>
          <w:rFonts w:ascii="Arial" w:hAnsi="Arial" w:cs="Arial"/>
          <w:lang w:val="en"/>
        </w:rPr>
        <w:t>-</w:t>
      </w:r>
      <w:r w:rsidR="00CD36D3" w:rsidRPr="00CD36D3">
        <w:rPr>
          <w:rFonts w:ascii="Arial" w:hAnsi="Arial" w:cs="Arial"/>
          <w:lang w:val="en"/>
        </w:rPr>
        <w:t>27EAJ, 2013 WL 12173591 (M.D. Fla. Nov. 13, 2013</w:t>
      </w:r>
      <w:r w:rsidR="00CD36D3">
        <w:rPr>
          <w:rFonts w:ascii="Arial" w:hAnsi="Arial" w:cs="Arial"/>
          <w:lang w:val="en"/>
        </w:rPr>
        <w:t>),</w:t>
      </w:r>
      <w:r>
        <w:rPr>
          <w:rFonts w:ascii="Arial" w:hAnsi="Arial" w:cs="Arial"/>
          <w:lang w:val="en"/>
        </w:rPr>
        <w:t xml:space="preserve"> and </w:t>
      </w:r>
      <w:r w:rsidR="00CD36D3">
        <w:rPr>
          <w:rFonts w:ascii="Arial" w:hAnsi="Arial" w:cs="Arial"/>
          <w:lang w:val="en"/>
        </w:rPr>
        <w:t xml:space="preserve">then </w:t>
      </w:r>
      <w:r>
        <w:rPr>
          <w:rFonts w:ascii="Arial" w:hAnsi="Arial" w:cs="Arial"/>
          <w:lang w:val="en"/>
        </w:rPr>
        <w:t xml:space="preserve">call </w:t>
      </w:r>
      <w:r w:rsidR="00FB140A">
        <w:rPr>
          <w:rFonts w:ascii="Arial" w:hAnsi="Arial" w:cs="Arial"/>
          <w:lang w:val="en"/>
        </w:rPr>
        <w:t>the assigned magistrate judge</w:t>
      </w:r>
      <w:r w:rsidR="00AA0BA9">
        <w:rPr>
          <w:rFonts w:ascii="Arial" w:hAnsi="Arial" w:cs="Arial"/>
          <w:lang w:val="en"/>
        </w:rPr>
        <w:t>’s chambers</w:t>
      </w:r>
      <w:r w:rsidR="00FB140A">
        <w:rPr>
          <w:rFonts w:ascii="Arial" w:hAnsi="Arial" w:cs="Arial"/>
          <w:lang w:val="en"/>
        </w:rPr>
        <w:t xml:space="preserve"> </w:t>
      </w:r>
      <w:r>
        <w:rPr>
          <w:rFonts w:ascii="Arial" w:hAnsi="Arial" w:cs="Arial"/>
          <w:lang w:val="en"/>
        </w:rPr>
        <w:t>to apprise the Court</w:t>
      </w:r>
      <w:r w:rsidR="00C2709B">
        <w:rPr>
          <w:rFonts w:ascii="Arial" w:hAnsi="Arial" w:cs="Arial"/>
          <w:lang w:val="en"/>
        </w:rPr>
        <w:t xml:space="preserve"> about the forthcoming filing</w:t>
      </w:r>
      <w:r>
        <w:rPr>
          <w:rFonts w:ascii="Arial" w:hAnsi="Arial" w:cs="Arial"/>
          <w:lang w:val="en"/>
        </w:rPr>
        <w:t>.</w:t>
      </w:r>
    </w:p>
    <w:p w:rsidR="00DE58FB" w:rsidRPr="00176656" w:rsidRDefault="00DE58FB" w:rsidP="000650A3">
      <w:pPr>
        <w:pStyle w:val="ListParagraph"/>
        <w:keepNext/>
        <w:numPr>
          <w:ilvl w:val="0"/>
          <w:numId w:val="7"/>
        </w:numPr>
        <w:spacing w:line="480" w:lineRule="auto"/>
        <w:ind w:left="720"/>
        <w:jc w:val="both"/>
        <w:rPr>
          <w:rFonts w:ascii="Arial" w:hAnsi="Arial" w:cs="Arial"/>
          <w:b/>
          <w:lang w:val="en"/>
        </w:rPr>
      </w:pPr>
      <w:r w:rsidRPr="00176656">
        <w:rPr>
          <w:rFonts w:ascii="Arial" w:hAnsi="Arial" w:cs="Arial"/>
          <w:b/>
          <w:lang w:val="en"/>
        </w:rPr>
        <w:t>Motions to strike</w:t>
      </w:r>
    </w:p>
    <w:p w:rsidR="00420668" w:rsidRDefault="00DE58FB" w:rsidP="000650A3">
      <w:pPr>
        <w:pStyle w:val="ListParagraph"/>
        <w:keepNext/>
        <w:spacing w:line="480" w:lineRule="auto"/>
        <w:ind w:left="0" w:firstLine="720"/>
        <w:jc w:val="both"/>
        <w:rPr>
          <w:rFonts w:ascii="Arial" w:hAnsi="Arial" w:cs="Arial"/>
          <w:lang w:val="en"/>
        </w:rPr>
      </w:pPr>
      <w:r>
        <w:rPr>
          <w:rFonts w:ascii="Arial" w:hAnsi="Arial" w:cs="Arial"/>
          <w:lang w:val="en"/>
        </w:rPr>
        <w:t>M</w:t>
      </w:r>
      <w:r w:rsidRPr="005F2ECE">
        <w:rPr>
          <w:rFonts w:ascii="Arial" w:hAnsi="Arial" w:cs="Arial"/>
          <w:lang w:val="en"/>
        </w:rPr>
        <w:t xml:space="preserve">otions to strike are generally disfavored by the Court and often considered time </w:t>
      </w:r>
      <w:r w:rsidRPr="005F2ECE">
        <w:rPr>
          <w:rFonts w:ascii="Arial" w:hAnsi="Arial" w:cs="Arial"/>
          <w:lang w:val="en"/>
        </w:rPr>
        <w:lastRenderedPageBreak/>
        <w:t>wasters.</w:t>
      </w:r>
      <w:r>
        <w:rPr>
          <w:rFonts w:ascii="Arial" w:hAnsi="Arial" w:cs="Arial"/>
          <w:lang w:val="en"/>
        </w:rPr>
        <w:t xml:space="preserve">  Before filing a motion to strike, the movant must review </w:t>
      </w:r>
      <w:r w:rsidR="00607E93" w:rsidRPr="00B00365">
        <w:rPr>
          <w:rFonts w:ascii="Arial" w:hAnsi="Arial" w:cs="Arial"/>
          <w:i/>
          <w:lang w:val="en"/>
        </w:rPr>
        <w:t xml:space="preserve">Yellow Pages Photos, Inc. v. </w:t>
      </w:r>
      <w:proofErr w:type="spellStart"/>
      <w:r w:rsidR="00607E93" w:rsidRPr="00B00365">
        <w:rPr>
          <w:rFonts w:ascii="Arial" w:hAnsi="Arial" w:cs="Arial"/>
          <w:i/>
          <w:lang w:val="en"/>
        </w:rPr>
        <w:t>Ziplocal</w:t>
      </w:r>
      <w:proofErr w:type="spellEnd"/>
      <w:r w:rsidR="00607E93" w:rsidRPr="00B00365">
        <w:rPr>
          <w:rFonts w:ascii="Arial" w:hAnsi="Arial" w:cs="Arial"/>
          <w:i/>
          <w:lang w:val="en"/>
        </w:rPr>
        <w:t>, LP</w:t>
      </w:r>
      <w:r w:rsidR="00607E93" w:rsidRPr="008F4759">
        <w:rPr>
          <w:rFonts w:ascii="Arial" w:hAnsi="Arial" w:cs="Arial"/>
          <w:lang w:val="en"/>
        </w:rPr>
        <w:t>, No. 8:12-cv-755-T-26TBM, 2012 WL 12920185 (M.D. Fla. Sept. 17, 2012)</w:t>
      </w:r>
      <w:r w:rsidR="00607E93">
        <w:rPr>
          <w:rFonts w:ascii="Arial" w:hAnsi="Arial" w:cs="Arial"/>
          <w:lang w:val="en"/>
        </w:rPr>
        <w:t xml:space="preserve">, and </w:t>
      </w:r>
      <w:r w:rsidRPr="00B00365">
        <w:rPr>
          <w:rFonts w:ascii="Arial" w:hAnsi="Arial" w:cs="Arial"/>
          <w:i/>
          <w:lang w:val="en"/>
        </w:rPr>
        <w:t>United States Sec. &amp; Exch. Comm'n v. Spartan Sec. Grp., LTD</w:t>
      </w:r>
      <w:r w:rsidRPr="00B00365">
        <w:rPr>
          <w:rFonts w:ascii="Arial" w:hAnsi="Arial" w:cs="Arial"/>
          <w:lang w:val="en"/>
        </w:rPr>
        <w:t>, No. 8:19-</w:t>
      </w:r>
      <w:r w:rsidR="00D967EF">
        <w:rPr>
          <w:rFonts w:ascii="Arial" w:hAnsi="Arial" w:cs="Arial"/>
          <w:lang w:val="en"/>
        </w:rPr>
        <w:t>cv</w:t>
      </w:r>
      <w:r w:rsidRPr="00B00365">
        <w:rPr>
          <w:rFonts w:ascii="Arial" w:hAnsi="Arial" w:cs="Arial"/>
          <w:lang w:val="en"/>
        </w:rPr>
        <w:t>-448-T-33CPT, 2019 WL 3323477 (M.D. Fla. July 24, 2019)</w:t>
      </w:r>
      <w:r w:rsidR="00607E93">
        <w:rPr>
          <w:rFonts w:ascii="Arial" w:hAnsi="Arial" w:cs="Arial"/>
          <w:lang w:val="en"/>
        </w:rPr>
        <w:t>,</w:t>
      </w:r>
      <w:r>
        <w:rPr>
          <w:rFonts w:ascii="Arial" w:hAnsi="Arial" w:cs="Arial"/>
          <w:lang w:val="en"/>
        </w:rPr>
        <w:t xml:space="preserve"> and then explain in the motion why the requested relief is warranted notwithstanding th</w:t>
      </w:r>
      <w:r w:rsidR="00607E93">
        <w:rPr>
          <w:rFonts w:ascii="Arial" w:hAnsi="Arial" w:cs="Arial"/>
          <w:lang w:val="en"/>
        </w:rPr>
        <w:t>e rationale and authorities cited therein.</w:t>
      </w:r>
    </w:p>
    <w:p w:rsidR="000604F5" w:rsidRPr="00291833" w:rsidRDefault="000604F5" w:rsidP="000650A3">
      <w:pPr>
        <w:pStyle w:val="ListParagraph"/>
        <w:keepNext/>
        <w:numPr>
          <w:ilvl w:val="0"/>
          <w:numId w:val="7"/>
        </w:numPr>
        <w:spacing w:line="480" w:lineRule="auto"/>
        <w:ind w:left="720"/>
        <w:jc w:val="both"/>
        <w:rPr>
          <w:rFonts w:ascii="Arial" w:hAnsi="Arial" w:cs="Arial"/>
          <w:b/>
          <w:lang w:val="en"/>
        </w:rPr>
      </w:pPr>
      <w:r>
        <w:rPr>
          <w:rFonts w:ascii="Arial" w:hAnsi="Arial" w:cs="Arial"/>
          <w:b/>
          <w:lang w:val="en"/>
        </w:rPr>
        <w:t>Motions to</w:t>
      </w:r>
      <w:r w:rsidRPr="00291833">
        <w:rPr>
          <w:rFonts w:ascii="Arial" w:hAnsi="Arial" w:cs="Arial"/>
          <w:b/>
          <w:lang w:val="en"/>
        </w:rPr>
        <w:t xml:space="preserve"> seal</w:t>
      </w:r>
    </w:p>
    <w:p w:rsidR="000604F5" w:rsidRDefault="000604F5" w:rsidP="000650A3">
      <w:pPr>
        <w:keepNext/>
        <w:spacing w:line="480" w:lineRule="auto"/>
        <w:ind w:firstLine="720"/>
        <w:jc w:val="both"/>
        <w:rPr>
          <w:rFonts w:ascii="Arial" w:hAnsi="Arial" w:cs="Arial"/>
          <w:lang w:val="en"/>
        </w:rPr>
      </w:pPr>
      <w:r>
        <w:rPr>
          <w:rFonts w:ascii="Arial" w:hAnsi="Arial" w:cs="Arial"/>
          <w:lang w:val="en"/>
        </w:rPr>
        <w:t xml:space="preserve">Designating material as confidential, sensitive, proprietary or the like, even if stipulated, does not alone warrant an order to seal such items when filed with the Court.  Nor do conclusory or speculative allegations concerning the nature of the documents or the harms that may result from disclosure.  Rather, the Court must carefully balance the need to facilitate the acquisition and use of relevant information by the parties against the general presumption that substantive aspects of a civil action are a matter of public concern.  </w:t>
      </w:r>
      <w:r w:rsidRPr="00F0244B">
        <w:rPr>
          <w:rFonts w:ascii="Arial" w:hAnsi="Arial" w:cs="Arial"/>
          <w:i/>
          <w:lang w:val="en"/>
        </w:rPr>
        <w:t xml:space="preserve">See </w:t>
      </w:r>
      <w:r>
        <w:rPr>
          <w:rFonts w:ascii="Arial" w:hAnsi="Arial" w:cs="Arial"/>
          <w:i/>
          <w:lang w:val="en"/>
        </w:rPr>
        <w:t xml:space="preserve">generally </w:t>
      </w:r>
      <w:r w:rsidRPr="003472A7">
        <w:rPr>
          <w:rFonts w:ascii="Arial" w:hAnsi="Arial" w:cs="Arial"/>
          <w:i/>
          <w:lang w:val="en"/>
        </w:rPr>
        <w:t>Romero v. Drummond Co.</w:t>
      </w:r>
      <w:r w:rsidRPr="003472A7">
        <w:rPr>
          <w:rFonts w:ascii="Arial" w:hAnsi="Arial" w:cs="Arial"/>
          <w:lang w:val="en"/>
        </w:rPr>
        <w:t>, 480 F.3d 1234</w:t>
      </w:r>
      <w:r>
        <w:rPr>
          <w:rFonts w:ascii="Arial" w:hAnsi="Arial" w:cs="Arial"/>
          <w:lang w:val="en"/>
        </w:rPr>
        <w:t>, 1245-48</w:t>
      </w:r>
      <w:r w:rsidRPr="003472A7">
        <w:rPr>
          <w:rFonts w:ascii="Arial" w:hAnsi="Arial" w:cs="Arial"/>
          <w:lang w:val="en"/>
        </w:rPr>
        <w:t xml:space="preserve"> (11th Cir. 2007)</w:t>
      </w:r>
      <w:r>
        <w:rPr>
          <w:rFonts w:ascii="Arial" w:hAnsi="Arial" w:cs="Arial"/>
          <w:lang w:val="en"/>
        </w:rPr>
        <w:t xml:space="preserve">; </w:t>
      </w:r>
      <w:r w:rsidRPr="003472A7">
        <w:rPr>
          <w:rFonts w:ascii="Arial" w:hAnsi="Arial" w:cs="Arial"/>
          <w:i/>
          <w:lang w:val="en"/>
        </w:rPr>
        <w:t>Chicago Tribune Co. v. Bridgestone/Firestone, Inc.</w:t>
      </w:r>
      <w:r w:rsidRPr="003472A7">
        <w:rPr>
          <w:rFonts w:ascii="Arial" w:hAnsi="Arial" w:cs="Arial"/>
          <w:lang w:val="en"/>
        </w:rPr>
        <w:t>, 263 F.3d 1304</w:t>
      </w:r>
      <w:r>
        <w:rPr>
          <w:rFonts w:ascii="Arial" w:hAnsi="Arial" w:cs="Arial"/>
          <w:lang w:val="en"/>
        </w:rPr>
        <w:t>, 1310-1315</w:t>
      </w:r>
      <w:r w:rsidRPr="003472A7">
        <w:rPr>
          <w:rFonts w:ascii="Arial" w:hAnsi="Arial" w:cs="Arial"/>
          <w:lang w:val="en"/>
        </w:rPr>
        <w:t xml:space="preserve"> (11th Cir. 2001)</w:t>
      </w:r>
      <w:r>
        <w:rPr>
          <w:rFonts w:ascii="Arial" w:hAnsi="Arial" w:cs="Arial"/>
          <w:lang w:val="en"/>
        </w:rPr>
        <w:t xml:space="preserve">.  Accordingly, </w:t>
      </w:r>
      <w:r w:rsidRPr="00B51374">
        <w:rPr>
          <w:rFonts w:ascii="Arial" w:hAnsi="Arial" w:cs="Arial"/>
          <w:b/>
          <w:lang w:val="en"/>
        </w:rPr>
        <w:t>compliance with Local Rule 1.09 is strictly enforced</w:t>
      </w:r>
      <w:r>
        <w:rPr>
          <w:rFonts w:ascii="Arial" w:hAnsi="Arial" w:cs="Arial"/>
          <w:lang w:val="en"/>
        </w:rPr>
        <w:t>.</w:t>
      </w:r>
      <w:r w:rsidRPr="00DE0802">
        <w:rPr>
          <w:rStyle w:val="FootnoteReference"/>
          <w:rFonts w:ascii="Arial" w:hAnsi="Arial" w:cs="Arial"/>
          <w:vertAlign w:val="superscript"/>
          <w:lang w:val="en"/>
        </w:rPr>
        <w:footnoteReference w:id="4"/>
      </w:r>
      <w:r>
        <w:rPr>
          <w:rFonts w:ascii="Arial" w:hAnsi="Arial" w:cs="Arial"/>
          <w:lang w:val="en"/>
        </w:rPr>
        <w:t xml:space="preserve">  </w:t>
      </w:r>
    </w:p>
    <w:p w:rsidR="00420668" w:rsidRPr="00AF7213" w:rsidRDefault="00420668" w:rsidP="000650A3">
      <w:pPr>
        <w:pStyle w:val="ListParagraph"/>
        <w:keepNext/>
        <w:numPr>
          <w:ilvl w:val="0"/>
          <w:numId w:val="7"/>
        </w:numPr>
        <w:spacing w:line="480" w:lineRule="auto"/>
        <w:ind w:left="720"/>
        <w:jc w:val="both"/>
        <w:rPr>
          <w:rFonts w:ascii="Arial" w:hAnsi="Arial" w:cs="Arial"/>
          <w:b/>
          <w:bCs/>
          <w:lang w:val="en"/>
        </w:rPr>
      </w:pPr>
      <w:r>
        <w:rPr>
          <w:rFonts w:ascii="Arial" w:hAnsi="Arial" w:cs="Arial"/>
          <w:b/>
          <w:bCs/>
          <w:lang w:val="en"/>
        </w:rPr>
        <w:t>Discovery practices</w:t>
      </w:r>
    </w:p>
    <w:p w:rsidR="00FF65C5" w:rsidRDefault="00830168" w:rsidP="000650A3">
      <w:pPr>
        <w:keepNext/>
        <w:spacing w:line="480" w:lineRule="auto"/>
        <w:ind w:firstLine="720"/>
        <w:jc w:val="both"/>
        <w:rPr>
          <w:rFonts w:ascii="Arial" w:hAnsi="Arial" w:cs="Arial"/>
          <w:lang w:val="en"/>
        </w:rPr>
      </w:pPr>
      <w:r>
        <w:rPr>
          <w:rFonts w:ascii="Arial" w:hAnsi="Arial" w:cs="Arial"/>
          <w:lang w:val="en"/>
        </w:rPr>
        <w:t>D</w:t>
      </w:r>
      <w:r w:rsidR="00FF65C5">
        <w:rPr>
          <w:rFonts w:ascii="Arial" w:hAnsi="Arial" w:cs="Arial"/>
          <w:lang w:val="en"/>
        </w:rPr>
        <w:t xml:space="preserve">iscovery requests </w:t>
      </w:r>
      <w:r>
        <w:rPr>
          <w:rFonts w:ascii="Arial" w:hAnsi="Arial" w:cs="Arial"/>
          <w:lang w:val="en"/>
        </w:rPr>
        <w:t>are untimely if the</w:t>
      </w:r>
      <w:r w:rsidR="00FF65C5">
        <w:rPr>
          <w:rFonts w:ascii="Arial" w:hAnsi="Arial" w:cs="Arial"/>
          <w:lang w:val="en"/>
        </w:rPr>
        <w:t xml:space="preserve"> response </w:t>
      </w:r>
      <w:r>
        <w:rPr>
          <w:rFonts w:ascii="Arial" w:hAnsi="Arial" w:cs="Arial"/>
          <w:lang w:val="en"/>
        </w:rPr>
        <w:t xml:space="preserve">period provided by rule expires after the discovery period.  </w:t>
      </w:r>
      <w:r w:rsidR="004451E8">
        <w:rPr>
          <w:rFonts w:ascii="Arial" w:hAnsi="Arial" w:cs="Arial"/>
          <w:lang w:val="en"/>
        </w:rPr>
        <w:t>Notwithstanding Local Rule 3.03(b), t</w:t>
      </w:r>
      <w:r>
        <w:rPr>
          <w:rFonts w:ascii="Arial" w:hAnsi="Arial" w:cs="Arial"/>
          <w:lang w:val="en"/>
        </w:rPr>
        <w:t xml:space="preserve">he Court expects the parties to exchange </w:t>
      </w:r>
      <w:r w:rsidR="004451E8">
        <w:rPr>
          <w:rFonts w:ascii="Arial" w:hAnsi="Arial" w:cs="Arial"/>
          <w:lang w:val="en"/>
        </w:rPr>
        <w:t xml:space="preserve">all </w:t>
      </w:r>
      <w:r>
        <w:rPr>
          <w:rFonts w:ascii="Arial" w:hAnsi="Arial" w:cs="Arial"/>
          <w:lang w:val="en"/>
        </w:rPr>
        <w:t xml:space="preserve">discovery requests in text-readable electronic format (native word-processing document, </w:t>
      </w:r>
      <w:r w:rsidR="004451E8">
        <w:rPr>
          <w:rFonts w:ascii="Arial" w:hAnsi="Arial" w:cs="Arial"/>
          <w:lang w:val="en"/>
        </w:rPr>
        <w:t>text-searchable</w:t>
      </w:r>
      <w:r>
        <w:rPr>
          <w:rFonts w:ascii="Arial" w:hAnsi="Arial" w:cs="Arial"/>
          <w:lang w:val="en"/>
        </w:rPr>
        <w:t xml:space="preserve"> PDF, etc.).  Parties shall not file discovery notices </w:t>
      </w:r>
      <w:r>
        <w:rPr>
          <w:rFonts w:ascii="Arial" w:hAnsi="Arial" w:cs="Arial"/>
          <w:lang w:val="en"/>
        </w:rPr>
        <w:lastRenderedPageBreak/>
        <w:t xml:space="preserve">or any discovery requests or responses with the Court except as provided by </w:t>
      </w:r>
      <w:r w:rsidR="00A76B5C">
        <w:rPr>
          <w:rFonts w:ascii="Arial" w:hAnsi="Arial" w:cs="Arial"/>
          <w:lang w:val="en"/>
        </w:rPr>
        <w:t>l</w:t>
      </w:r>
      <w:r>
        <w:rPr>
          <w:rFonts w:ascii="Arial" w:hAnsi="Arial" w:cs="Arial"/>
          <w:lang w:val="en"/>
        </w:rPr>
        <w:t xml:space="preserve">ocal </w:t>
      </w:r>
      <w:r w:rsidR="00A76B5C">
        <w:rPr>
          <w:rFonts w:ascii="Arial" w:hAnsi="Arial" w:cs="Arial"/>
          <w:lang w:val="en"/>
        </w:rPr>
        <w:t>r</w:t>
      </w:r>
      <w:r>
        <w:rPr>
          <w:rFonts w:ascii="Arial" w:hAnsi="Arial" w:cs="Arial"/>
          <w:lang w:val="en"/>
        </w:rPr>
        <w:t xml:space="preserve">ule.  </w:t>
      </w:r>
    </w:p>
    <w:p w:rsidR="00FF65C5" w:rsidRDefault="00291046" w:rsidP="000650A3">
      <w:pPr>
        <w:spacing w:line="480" w:lineRule="auto"/>
        <w:ind w:firstLine="720"/>
        <w:jc w:val="both"/>
        <w:rPr>
          <w:rFonts w:ascii="Arial" w:hAnsi="Arial" w:cs="Arial"/>
          <w:lang w:val="en"/>
        </w:rPr>
      </w:pPr>
      <w:r>
        <w:rPr>
          <w:rFonts w:ascii="Arial" w:hAnsi="Arial" w:cs="Arial"/>
          <w:lang w:val="en"/>
        </w:rPr>
        <w:t xml:space="preserve">Other than a Rule 35 physical or mental examination, </w:t>
      </w:r>
      <w:r w:rsidRPr="00291046">
        <w:rPr>
          <w:rFonts w:ascii="Arial" w:hAnsi="Arial" w:cs="Arial"/>
          <w:lang w:val="en"/>
        </w:rPr>
        <w:t xml:space="preserve">litigants may </w:t>
      </w:r>
      <w:r>
        <w:rPr>
          <w:rFonts w:ascii="Arial" w:hAnsi="Arial" w:cs="Arial"/>
          <w:lang w:val="en"/>
        </w:rPr>
        <w:t>stipulate</w:t>
      </w:r>
      <w:r w:rsidRPr="00291046">
        <w:rPr>
          <w:rFonts w:ascii="Arial" w:hAnsi="Arial" w:cs="Arial"/>
          <w:lang w:val="en"/>
        </w:rPr>
        <w:t xml:space="preserve"> </w:t>
      </w:r>
      <w:r>
        <w:rPr>
          <w:rFonts w:ascii="Arial" w:hAnsi="Arial" w:cs="Arial"/>
          <w:lang w:val="en"/>
        </w:rPr>
        <w:t>– w</w:t>
      </w:r>
      <w:r w:rsidRPr="00291046">
        <w:rPr>
          <w:rFonts w:ascii="Arial" w:hAnsi="Arial" w:cs="Arial"/>
          <w:lang w:val="en"/>
        </w:rPr>
        <w:t>ithin the confines of the Court</w:t>
      </w:r>
      <w:r>
        <w:rPr>
          <w:rFonts w:ascii="Arial" w:hAnsi="Arial" w:cs="Arial"/>
          <w:lang w:val="en"/>
        </w:rPr>
        <w:t>’</w:t>
      </w:r>
      <w:r w:rsidRPr="00291046">
        <w:rPr>
          <w:rFonts w:ascii="Arial" w:hAnsi="Arial" w:cs="Arial"/>
          <w:lang w:val="en"/>
        </w:rPr>
        <w:t>s orders</w:t>
      </w:r>
      <w:r>
        <w:rPr>
          <w:rFonts w:ascii="Arial" w:hAnsi="Arial" w:cs="Arial"/>
          <w:lang w:val="en"/>
        </w:rPr>
        <w:t xml:space="preserve"> –</w:t>
      </w:r>
      <w:r w:rsidRPr="00291046">
        <w:rPr>
          <w:rFonts w:ascii="Arial" w:hAnsi="Arial" w:cs="Arial"/>
          <w:lang w:val="en"/>
        </w:rPr>
        <w:t xml:space="preserve"> to </w:t>
      </w:r>
      <w:r>
        <w:rPr>
          <w:rFonts w:ascii="Arial" w:hAnsi="Arial" w:cs="Arial"/>
          <w:lang w:val="en"/>
        </w:rPr>
        <w:t xml:space="preserve">methods, procedures and </w:t>
      </w:r>
      <w:r w:rsidRPr="00291046">
        <w:rPr>
          <w:rFonts w:ascii="Arial" w:hAnsi="Arial" w:cs="Arial"/>
          <w:lang w:val="en"/>
        </w:rPr>
        <w:t xml:space="preserve">extensions of time </w:t>
      </w:r>
      <w:r>
        <w:rPr>
          <w:rFonts w:ascii="Arial" w:hAnsi="Arial" w:cs="Arial"/>
          <w:lang w:val="en"/>
        </w:rPr>
        <w:t>for</w:t>
      </w:r>
      <w:r w:rsidRPr="00291046">
        <w:rPr>
          <w:rFonts w:ascii="Arial" w:hAnsi="Arial" w:cs="Arial"/>
          <w:lang w:val="en"/>
        </w:rPr>
        <w:t xml:space="preserve"> discovery without Court intervention</w:t>
      </w:r>
      <w:r w:rsidR="0005741D">
        <w:rPr>
          <w:rFonts w:ascii="Arial" w:hAnsi="Arial" w:cs="Arial"/>
          <w:lang w:val="en"/>
        </w:rPr>
        <w:t>.</w:t>
      </w:r>
      <w:r w:rsidRPr="00291046">
        <w:rPr>
          <w:rStyle w:val="FootnoteReference"/>
          <w:rFonts w:ascii="Arial" w:hAnsi="Arial" w:cs="Arial"/>
          <w:vertAlign w:val="superscript"/>
          <w:lang w:val="en"/>
        </w:rPr>
        <w:footnoteReference w:id="5"/>
      </w:r>
      <w:r w:rsidRPr="00291046">
        <w:rPr>
          <w:rFonts w:ascii="Arial" w:hAnsi="Arial" w:cs="Arial"/>
          <w:lang w:val="en"/>
        </w:rPr>
        <w:t xml:space="preserve"> </w:t>
      </w:r>
      <w:r w:rsidR="0005741D">
        <w:rPr>
          <w:rFonts w:ascii="Arial" w:hAnsi="Arial" w:cs="Arial"/>
          <w:lang w:val="en"/>
        </w:rPr>
        <w:t xml:space="preserve"> So long as other deadlines and scheduled events are not affected, p</w:t>
      </w:r>
      <w:r w:rsidR="00FF65C5">
        <w:rPr>
          <w:rFonts w:ascii="Arial" w:hAnsi="Arial" w:cs="Arial"/>
          <w:lang w:val="en"/>
        </w:rPr>
        <w:t xml:space="preserve">arties may </w:t>
      </w:r>
      <w:r w:rsidR="0005741D">
        <w:rPr>
          <w:rFonts w:ascii="Arial" w:hAnsi="Arial" w:cs="Arial"/>
          <w:lang w:val="en"/>
        </w:rPr>
        <w:t xml:space="preserve">also </w:t>
      </w:r>
      <w:r w:rsidR="00FF65C5">
        <w:rPr>
          <w:rFonts w:ascii="Arial" w:hAnsi="Arial" w:cs="Arial"/>
          <w:lang w:val="en"/>
        </w:rPr>
        <w:t xml:space="preserve">agree to </w:t>
      </w:r>
      <w:r w:rsidR="0005741D">
        <w:rPr>
          <w:rFonts w:ascii="Arial" w:hAnsi="Arial" w:cs="Arial"/>
          <w:lang w:val="en"/>
        </w:rPr>
        <w:t xml:space="preserve">conduct discovery </w:t>
      </w:r>
      <w:r w:rsidR="003A7A33">
        <w:rPr>
          <w:rFonts w:ascii="Arial" w:hAnsi="Arial" w:cs="Arial"/>
          <w:lang w:val="en"/>
        </w:rPr>
        <w:t>after the discovery deadline.</w:t>
      </w:r>
      <w:r w:rsidR="00FF65C5">
        <w:rPr>
          <w:rFonts w:ascii="Arial" w:hAnsi="Arial" w:cs="Arial"/>
          <w:lang w:val="en"/>
        </w:rPr>
        <w:t xml:space="preserve">  </w:t>
      </w:r>
      <w:r w:rsidR="003A7A33">
        <w:rPr>
          <w:rFonts w:ascii="Arial" w:hAnsi="Arial" w:cs="Arial"/>
          <w:lang w:val="en"/>
        </w:rPr>
        <w:t>But m</w:t>
      </w:r>
      <w:r w:rsidR="00FF65C5">
        <w:rPr>
          <w:rFonts w:ascii="Arial" w:hAnsi="Arial" w:cs="Arial"/>
          <w:lang w:val="en"/>
        </w:rPr>
        <w:t>otions to compel filed after the discovery deadline are presumptively untimely</w:t>
      </w:r>
      <w:r w:rsidR="003A7A33">
        <w:rPr>
          <w:rFonts w:ascii="Arial" w:hAnsi="Arial" w:cs="Arial"/>
          <w:lang w:val="en"/>
        </w:rPr>
        <w:t xml:space="preserve"> and may be denied on that basis alone.</w:t>
      </w:r>
      <w:r w:rsidR="00291833">
        <w:rPr>
          <w:rFonts w:ascii="Arial" w:hAnsi="Arial" w:cs="Arial"/>
          <w:lang w:val="en"/>
        </w:rPr>
        <w:t xml:space="preserve"> </w:t>
      </w:r>
    </w:p>
    <w:p w:rsidR="00830168" w:rsidRPr="00291833" w:rsidRDefault="000625C8" w:rsidP="000650A3">
      <w:pPr>
        <w:pStyle w:val="ListParagraph"/>
        <w:keepNext/>
        <w:numPr>
          <w:ilvl w:val="0"/>
          <w:numId w:val="7"/>
        </w:numPr>
        <w:spacing w:line="480" w:lineRule="auto"/>
        <w:ind w:left="720"/>
        <w:jc w:val="both"/>
        <w:rPr>
          <w:rFonts w:ascii="Arial" w:hAnsi="Arial" w:cs="Arial"/>
          <w:b/>
          <w:lang w:val="en"/>
        </w:rPr>
      </w:pPr>
      <w:r>
        <w:rPr>
          <w:rFonts w:ascii="Arial" w:hAnsi="Arial" w:cs="Arial"/>
          <w:b/>
          <w:lang w:val="en"/>
        </w:rPr>
        <w:t>E</w:t>
      </w:r>
      <w:r w:rsidR="00420668" w:rsidRPr="00291833">
        <w:rPr>
          <w:rFonts w:ascii="Arial" w:hAnsi="Arial" w:cs="Arial"/>
          <w:b/>
          <w:lang w:val="en"/>
        </w:rPr>
        <w:t xml:space="preserve">xpert witness </w:t>
      </w:r>
      <w:r>
        <w:rPr>
          <w:rFonts w:ascii="Arial" w:hAnsi="Arial" w:cs="Arial"/>
          <w:b/>
          <w:lang w:val="en"/>
        </w:rPr>
        <w:t xml:space="preserve">reports and </w:t>
      </w:r>
      <w:r w:rsidR="00420668" w:rsidRPr="00291833">
        <w:rPr>
          <w:rFonts w:ascii="Arial" w:hAnsi="Arial" w:cs="Arial"/>
          <w:b/>
          <w:lang w:val="en"/>
        </w:rPr>
        <w:t>depositions</w:t>
      </w:r>
    </w:p>
    <w:p w:rsidR="000625C8" w:rsidRDefault="00A26D9B" w:rsidP="000650A3">
      <w:pPr>
        <w:keepNext/>
        <w:spacing w:line="480" w:lineRule="auto"/>
        <w:ind w:firstLine="720"/>
        <w:jc w:val="both"/>
        <w:rPr>
          <w:rFonts w:ascii="Arial" w:hAnsi="Arial" w:cs="Arial"/>
          <w:lang w:val="en"/>
        </w:rPr>
      </w:pPr>
      <w:r>
        <w:rPr>
          <w:rFonts w:ascii="Arial" w:hAnsi="Arial" w:cs="Arial"/>
          <w:lang w:val="en"/>
        </w:rPr>
        <w:t>T</w:t>
      </w:r>
      <w:r w:rsidR="003A7A33">
        <w:rPr>
          <w:rFonts w:ascii="Arial" w:hAnsi="Arial" w:cs="Arial"/>
          <w:lang w:val="en"/>
        </w:rPr>
        <w:t xml:space="preserve">he parties shall fully comply with </w:t>
      </w:r>
      <w:r w:rsidR="000625C8">
        <w:rPr>
          <w:rFonts w:ascii="Arial" w:hAnsi="Arial" w:cs="Arial"/>
          <w:lang w:val="en"/>
        </w:rPr>
        <w:t xml:space="preserve">Rule </w:t>
      </w:r>
      <w:r w:rsidR="003A7A33">
        <w:rPr>
          <w:rFonts w:ascii="Arial" w:hAnsi="Arial" w:cs="Arial"/>
          <w:lang w:val="en"/>
        </w:rPr>
        <w:t>26(a)(2) on or before the deadline</w:t>
      </w:r>
      <w:r>
        <w:rPr>
          <w:rFonts w:ascii="Arial" w:hAnsi="Arial" w:cs="Arial"/>
          <w:lang w:val="en"/>
        </w:rPr>
        <w:t xml:space="preserve"> for their expert disclosures</w:t>
      </w:r>
      <w:r w:rsidR="003A7A33">
        <w:rPr>
          <w:rFonts w:ascii="Arial" w:hAnsi="Arial" w:cs="Arial"/>
          <w:lang w:val="en"/>
        </w:rPr>
        <w:t>.</w:t>
      </w:r>
      <w:r w:rsidR="000625C8" w:rsidRPr="000625C8">
        <w:t xml:space="preserve"> </w:t>
      </w:r>
      <w:r w:rsidR="000625C8">
        <w:t xml:space="preserve"> </w:t>
      </w:r>
      <w:r w:rsidR="000625C8" w:rsidRPr="000625C8">
        <w:rPr>
          <w:rFonts w:ascii="Arial" w:hAnsi="Arial" w:cs="Arial"/>
          <w:lang w:val="en"/>
        </w:rPr>
        <w:t>Expert testimony on direct examination at trial will be limited to the opinions, bas</w:t>
      </w:r>
      <w:r w:rsidR="000625C8">
        <w:rPr>
          <w:rFonts w:ascii="Arial" w:hAnsi="Arial" w:cs="Arial"/>
          <w:lang w:val="en"/>
        </w:rPr>
        <w:t>e</w:t>
      </w:r>
      <w:r w:rsidR="000625C8" w:rsidRPr="000625C8">
        <w:rPr>
          <w:rFonts w:ascii="Arial" w:hAnsi="Arial" w:cs="Arial"/>
          <w:lang w:val="en"/>
        </w:rPr>
        <w:t>s,</w:t>
      </w:r>
      <w:r w:rsidR="000625C8">
        <w:rPr>
          <w:rFonts w:ascii="Arial" w:hAnsi="Arial" w:cs="Arial"/>
          <w:lang w:val="en"/>
        </w:rPr>
        <w:t xml:space="preserve"> </w:t>
      </w:r>
      <w:r w:rsidR="000625C8" w:rsidRPr="000625C8">
        <w:rPr>
          <w:rFonts w:ascii="Arial" w:hAnsi="Arial" w:cs="Arial"/>
          <w:lang w:val="en"/>
        </w:rPr>
        <w:t xml:space="preserve">reasons, data, and other information disclosed in the written expert report. </w:t>
      </w:r>
      <w:r w:rsidR="000625C8">
        <w:rPr>
          <w:rFonts w:ascii="Arial" w:hAnsi="Arial" w:cs="Arial"/>
          <w:lang w:val="en"/>
        </w:rPr>
        <w:t xml:space="preserve"> </w:t>
      </w:r>
      <w:r w:rsidR="000625C8" w:rsidRPr="000625C8">
        <w:rPr>
          <w:rFonts w:ascii="Arial" w:hAnsi="Arial" w:cs="Arial"/>
          <w:lang w:val="en"/>
        </w:rPr>
        <w:t>Failure to</w:t>
      </w:r>
      <w:r w:rsidR="000625C8">
        <w:rPr>
          <w:rFonts w:ascii="Arial" w:hAnsi="Arial" w:cs="Arial"/>
          <w:lang w:val="en"/>
        </w:rPr>
        <w:t xml:space="preserve"> </w:t>
      </w:r>
      <w:r w:rsidR="000625C8" w:rsidRPr="000625C8">
        <w:rPr>
          <w:rFonts w:ascii="Arial" w:hAnsi="Arial" w:cs="Arial"/>
          <w:lang w:val="en"/>
        </w:rPr>
        <w:t xml:space="preserve">disclose this information may </w:t>
      </w:r>
      <w:r w:rsidR="000625C8">
        <w:rPr>
          <w:rFonts w:ascii="Arial" w:hAnsi="Arial" w:cs="Arial"/>
          <w:lang w:val="en"/>
        </w:rPr>
        <w:t>result in the exclusion of</w:t>
      </w:r>
      <w:r w:rsidR="000625C8" w:rsidRPr="000625C8">
        <w:rPr>
          <w:rFonts w:ascii="Arial" w:hAnsi="Arial" w:cs="Arial"/>
          <w:lang w:val="en"/>
        </w:rPr>
        <w:t xml:space="preserve"> all or part of the expert witness’</w:t>
      </w:r>
      <w:r w:rsidR="000625C8">
        <w:rPr>
          <w:rFonts w:ascii="Arial" w:hAnsi="Arial" w:cs="Arial"/>
          <w:lang w:val="en"/>
        </w:rPr>
        <w:t xml:space="preserve">s </w:t>
      </w:r>
      <w:r w:rsidR="000625C8" w:rsidRPr="000625C8">
        <w:rPr>
          <w:rFonts w:ascii="Arial" w:hAnsi="Arial" w:cs="Arial"/>
          <w:lang w:val="en"/>
        </w:rPr>
        <w:t>testimony.</w:t>
      </w:r>
    </w:p>
    <w:p w:rsidR="00FF65C5" w:rsidRDefault="009C25AF" w:rsidP="000650A3">
      <w:pPr>
        <w:spacing w:line="480" w:lineRule="auto"/>
        <w:ind w:firstLine="720"/>
        <w:jc w:val="both"/>
        <w:rPr>
          <w:rFonts w:ascii="Arial" w:hAnsi="Arial" w:cs="Arial"/>
          <w:lang w:val="en"/>
        </w:rPr>
      </w:pPr>
      <w:r>
        <w:rPr>
          <w:rFonts w:ascii="Arial" w:hAnsi="Arial" w:cs="Arial"/>
          <w:lang w:val="en"/>
        </w:rPr>
        <w:t>I</w:t>
      </w:r>
      <w:r w:rsidR="000625C8">
        <w:rPr>
          <w:rFonts w:ascii="Arial" w:hAnsi="Arial" w:cs="Arial"/>
          <w:lang w:val="en"/>
        </w:rPr>
        <w:t>f</w:t>
      </w:r>
      <w:r>
        <w:rPr>
          <w:rFonts w:ascii="Arial" w:hAnsi="Arial" w:cs="Arial"/>
          <w:lang w:val="en"/>
        </w:rPr>
        <w:t xml:space="preserve"> not previously provided or otherwise agreed, service of an expert report by any party </w:t>
      </w:r>
      <w:r w:rsidRPr="000625C8">
        <w:rPr>
          <w:rFonts w:ascii="Arial" w:hAnsi="Arial" w:cs="Arial"/>
          <w:b/>
          <w:lang w:val="en"/>
        </w:rPr>
        <w:t>shall include the disclosure of at least three dates of availability for the expert to be deposed</w:t>
      </w:r>
      <w:r>
        <w:rPr>
          <w:rFonts w:ascii="Arial" w:hAnsi="Arial" w:cs="Arial"/>
          <w:lang w:val="en"/>
        </w:rPr>
        <w:t xml:space="preserve"> no sooner than one week and no later than three weeks after service of the expert’s report.  The parties are encouraged to discuss these scheduling issues well before the service of such reports and to place holds on dates as appropriate.</w:t>
      </w:r>
    </w:p>
    <w:p w:rsidR="009611A3" w:rsidRPr="009611A3" w:rsidRDefault="00A0233B" w:rsidP="000650A3">
      <w:pPr>
        <w:pStyle w:val="ListParagraph"/>
        <w:keepNext/>
        <w:numPr>
          <w:ilvl w:val="0"/>
          <w:numId w:val="7"/>
        </w:numPr>
        <w:spacing w:line="480" w:lineRule="auto"/>
        <w:ind w:left="720"/>
        <w:jc w:val="both"/>
        <w:rPr>
          <w:rFonts w:ascii="Arial" w:hAnsi="Arial" w:cs="Arial"/>
          <w:b/>
          <w:lang w:val="en"/>
        </w:rPr>
      </w:pPr>
      <w:r w:rsidRPr="009611A3">
        <w:rPr>
          <w:rFonts w:ascii="Arial" w:hAnsi="Arial" w:cs="Arial"/>
          <w:b/>
          <w:lang w:val="en"/>
        </w:rPr>
        <w:t>Mediation</w:t>
      </w:r>
    </w:p>
    <w:p w:rsidR="00837BC3" w:rsidRDefault="00C41692" w:rsidP="000650A3">
      <w:pPr>
        <w:keepNext/>
        <w:spacing w:line="480" w:lineRule="auto"/>
        <w:ind w:firstLine="720"/>
        <w:jc w:val="both"/>
        <w:rPr>
          <w:rFonts w:ascii="Arial" w:hAnsi="Arial" w:cs="Arial"/>
          <w:lang w:val="en"/>
        </w:rPr>
      </w:pPr>
      <w:r>
        <w:rPr>
          <w:rFonts w:ascii="Arial" w:hAnsi="Arial" w:cs="Arial"/>
          <w:lang w:val="en"/>
        </w:rPr>
        <w:t xml:space="preserve">Upon entry of the Case Management and Scheduling Order, this matter is referred to mediation.  </w:t>
      </w:r>
      <w:r w:rsidR="00200AF2">
        <w:rPr>
          <w:rFonts w:ascii="Arial" w:hAnsi="Arial" w:cs="Arial"/>
          <w:lang w:val="en"/>
        </w:rPr>
        <w:t xml:space="preserve">If the parties do not identify an agreed-upon mediator in their Case </w:t>
      </w:r>
      <w:r w:rsidR="00200AF2">
        <w:rPr>
          <w:rFonts w:ascii="Arial" w:hAnsi="Arial" w:cs="Arial"/>
          <w:lang w:val="en"/>
        </w:rPr>
        <w:lastRenderedPageBreak/>
        <w:t xml:space="preserve">Management Report, they shall be prepared to disclose their agreed-upon mediator during any preliminary pretrial conference that may be conducted in this matter.  </w:t>
      </w:r>
      <w:r w:rsidR="00151617">
        <w:rPr>
          <w:rFonts w:ascii="Arial" w:hAnsi="Arial" w:cs="Arial"/>
          <w:lang w:val="en"/>
        </w:rPr>
        <w:t xml:space="preserve">The parties may seek leave to utilize a mediator who is not on the Court’s list of certified mediators by explaining why their jointly proposed mediator is exceptionally well-suited to mediate this </w:t>
      </w:r>
      <w:proofErr w:type="gramStart"/>
      <w:r w:rsidR="00151617">
        <w:rPr>
          <w:rFonts w:ascii="Arial" w:hAnsi="Arial" w:cs="Arial"/>
          <w:lang w:val="en"/>
        </w:rPr>
        <w:t>particular case</w:t>
      </w:r>
      <w:proofErr w:type="gramEnd"/>
      <w:r w:rsidR="00151617">
        <w:rPr>
          <w:rFonts w:ascii="Arial" w:hAnsi="Arial" w:cs="Arial"/>
          <w:lang w:val="en"/>
        </w:rPr>
        <w:t xml:space="preserve">.  They may make this showing either </w:t>
      </w:r>
      <w:r>
        <w:rPr>
          <w:rFonts w:ascii="Arial" w:hAnsi="Arial" w:cs="Arial"/>
          <w:lang w:val="en"/>
        </w:rPr>
        <w:t xml:space="preserve">in </w:t>
      </w:r>
      <w:r w:rsidR="00151617">
        <w:rPr>
          <w:rFonts w:ascii="Arial" w:hAnsi="Arial" w:cs="Arial"/>
          <w:lang w:val="en"/>
        </w:rPr>
        <w:t xml:space="preserve">their jointly filed </w:t>
      </w:r>
      <w:r w:rsidR="00AD7C5F">
        <w:rPr>
          <w:rFonts w:ascii="Arial" w:hAnsi="Arial" w:cs="Arial"/>
          <w:lang w:val="en"/>
        </w:rPr>
        <w:t>case management report</w:t>
      </w:r>
      <w:r w:rsidR="00151617">
        <w:rPr>
          <w:rFonts w:ascii="Arial" w:hAnsi="Arial" w:cs="Arial"/>
          <w:lang w:val="en"/>
        </w:rPr>
        <w:t xml:space="preserve"> or by motion.</w:t>
      </w:r>
    </w:p>
    <w:p w:rsidR="007A5706" w:rsidRDefault="00AD7C5F" w:rsidP="000650A3">
      <w:pPr>
        <w:spacing w:line="480" w:lineRule="auto"/>
        <w:ind w:firstLine="720"/>
        <w:jc w:val="both"/>
        <w:rPr>
          <w:rFonts w:ascii="Arial" w:hAnsi="Arial" w:cs="Arial"/>
          <w:lang w:val="en"/>
        </w:rPr>
      </w:pPr>
      <w:r>
        <w:rPr>
          <w:rFonts w:ascii="Arial" w:hAnsi="Arial" w:cs="Arial"/>
          <w:lang w:val="en"/>
        </w:rPr>
        <w:t xml:space="preserve">Notwithstanding </w:t>
      </w:r>
      <w:r w:rsidR="004C6D98">
        <w:rPr>
          <w:rFonts w:ascii="Arial" w:hAnsi="Arial" w:cs="Arial"/>
          <w:lang w:val="en"/>
        </w:rPr>
        <w:t xml:space="preserve">Local Rule 9.04(a)(3) and </w:t>
      </w:r>
      <w:r>
        <w:rPr>
          <w:rFonts w:ascii="Arial" w:hAnsi="Arial" w:cs="Arial"/>
          <w:lang w:val="en"/>
        </w:rPr>
        <w:t>subsections (a)</w:t>
      </w:r>
      <w:r w:rsidR="00654EE2">
        <w:rPr>
          <w:rFonts w:ascii="Arial" w:hAnsi="Arial" w:cs="Arial"/>
          <w:lang w:val="en"/>
        </w:rPr>
        <w:t xml:space="preserve">, </w:t>
      </w:r>
      <w:r>
        <w:rPr>
          <w:rFonts w:ascii="Arial" w:hAnsi="Arial" w:cs="Arial"/>
          <w:lang w:val="en"/>
        </w:rPr>
        <w:t xml:space="preserve">(b) </w:t>
      </w:r>
      <w:r w:rsidR="00654EE2">
        <w:rPr>
          <w:rFonts w:ascii="Arial" w:hAnsi="Arial" w:cs="Arial"/>
          <w:lang w:val="en"/>
        </w:rPr>
        <w:t xml:space="preserve">and (d) </w:t>
      </w:r>
      <w:r>
        <w:rPr>
          <w:rFonts w:ascii="Arial" w:hAnsi="Arial" w:cs="Arial"/>
          <w:lang w:val="en"/>
        </w:rPr>
        <w:t xml:space="preserve">of Local Rule 9.05, the </w:t>
      </w:r>
      <w:r w:rsidR="00200AF2">
        <w:rPr>
          <w:rFonts w:ascii="Arial" w:hAnsi="Arial" w:cs="Arial"/>
          <w:lang w:val="en"/>
        </w:rPr>
        <w:t>date</w:t>
      </w:r>
      <w:r w:rsidR="00C435DA">
        <w:rPr>
          <w:rFonts w:ascii="Arial" w:hAnsi="Arial" w:cs="Arial"/>
          <w:lang w:val="en"/>
        </w:rPr>
        <w:t xml:space="preserve">, </w:t>
      </w:r>
      <w:r w:rsidR="00200AF2">
        <w:rPr>
          <w:rFonts w:ascii="Arial" w:hAnsi="Arial" w:cs="Arial"/>
          <w:lang w:val="en"/>
        </w:rPr>
        <w:t>time</w:t>
      </w:r>
      <w:r>
        <w:rPr>
          <w:rFonts w:ascii="Arial" w:hAnsi="Arial" w:cs="Arial"/>
          <w:lang w:val="en"/>
        </w:rPr>
        <w:t xml:space="preserve"> </w:t>
      </w:r>
      <w:r w:rsidR="00C435DA">
        <w:rPr>
          <w:rFonts w:ascii="Arial" w:hAnsi="Arial" w:cs="Arial"/>
          <w:lang w:val="en"/>
        </w:rPr>
        <w:t xml:space="preserve">and location </w:t>
      </w:r>
      <w:r>
        <w:rPr>
          <w:rFonts w:ascii="Arial" w:hAnsi="Arial" w:cs="Arial"/>
          <w:lang w:val="en"/>
        </w:rPr>
        <w:t xml:space="preserve">of the mediation shall be set by </w:t>
      </w:r>
      <w:r w:rsidR="00654EE2">
        <w:rPr>
          <w:rFonts w:ascii="Arial" w:hAnsi="Arial" w:cs="Arial"/>
          <w:lang w:val="en"/>
        </w:rPr>
        <w:t>agreement</w:t>
      </w:r>
      <w:r>
        <w:rPr>
          <w:rFonts w:ascii="Arial" w:hAnsi="Arial" w:cs="Arial"/>
          <w:lang w:val="en"/>
        </w:rPr>
        <w:t xml:space="preserve"> of the parties (within the </w:t>
      </w:r>
      <w:r w:rsidR="00654EE2">
        <w:rPr>
          <w:rFonts w:ascii="Arial" w:hAnsi="Arial" w:cs="Arial"/>
          <w:lang w:val="en"/>
        </w:rPr>
        <w:t xml:space="preserve">mediation deadline).  The parties </w:t>
      </w:r>
      <w:r w:rsidR="00CA4CC9">
        <w:rPr>
          <w:rFonts w:ascii="Arial" w:hAnsi="Arial" w:cs="Arial"/>
          <w:lang w:val="en"/>
        </w:rPr>
        <w:t xml:space="preserve">or the mediator </w:t>
      </w:r>
      <w:r w:rsidR="00654EE2">
        <w:rPr>
          <w:rFonts w:ascii="Arial" w:hAnsi="Arial" w:cs="Arial"/>
          <w:lang w:val="en"/>
        </w:rPr>
        <w:t xml:space="preserve">shall file a notice of mediation at least fourteen days prior to the mediation conference, and a mediation report </w:t>
      </w:r>
      <w:r w:rsidR="004E2F68">
        <w:rPr>
          <w:rFonts w:ascii="Arial" w:hAnsi="Arial" w:cs="Arial"/>
          <w:lang w:val="en"/>
        </w:rPr>
        <w:t>no more than</w:t>
      </w:r>
      <w:r w:rsidR="00654EE2">
        <w:rPr>
          <w:rFonts w:ascii="Arial" w:hAnsi="Arial" w:cs="Arial"/>
          <w:lang w:val="en"/>
        </w:rPr>
        <w:t xml:space="preserve"> five days after the conference.</w:t>
      </w:r>
    </w:p>
    <w:p w:rsidR="00AD7C5F" w:rsidRDefault="00654EE2" w:rsidP="000650A3">
      <w:pPr>
        <w:spacing w:line="480" w:lineRule="auto"/>
        <w:ind w:firstLine="720"/>
        <w:jc w:val="both"/>
        <w:rPr>
          <w:rFonts w:ascii="Arial" w:hAnsi="Arial" w:cs="Arial"/>
          <w:lang w:val="en"/>
        </w:rPr>
      </w:pPr>
      <w:r>
        <w:rPr>
          <w:rFonts w:ascii="Arial" w:hAnsi="Arial" w:cs="Arial"/>
          <w:lang w:val="en"/>
        </w:rPr>
        <w:t>While the Court disfavors opposed requests for a required person (such as a</w:t>
      </w:r>
      <w:r w:rsidR="00AA6FB7">
        <w:rPr>
          <w:rFonts w:ascii="Arial" w:hAnsi="Arial" w:cs="Arial"/>
          <w:lang w:val="en"/>
        </w:rPr>
        <w:t xml:space="preserve">n </w:t>
      </w:r>
      <w:r>
        <w:rPr>
          <w:rFonts w:ascii="Arial" w:hAnsi="Arial" w:cs="Arial"/>
          <w:lang w:val="en"/>
        </w:rPr>
        <w:t>insurance adjuster) to participate by phone</w:t>
      </w:r>
      <w:r w:rsidR="004E2F68">
        <w:rPr>
          <w:rFonts w:ascii="Arial" w:hAnsi="Arial" w:cs="Arial"/>
          <w:lang w:val="en"/>
        </w:rPr>
        <w:t xml:space="preserve">, the parties may – without court intervention – agree that a required person may participate </w:t>
      </w:r>
      <w:r w:rsidR="00200AF2">
        <w:rPr>
          <w:rFonts w:ascii="Arial" w:hAnsi="Arial" w:cs="Arial"/>
          <w:lang w:val="en"/>
        </w:rPr>
        <w:t>in</w:t>
      </w:r>
      <w:r w:rsidR="004E2F68">
        <w:rPr>
          <w:rFonts w:ascii="Arial" w:hAnsi="Arial" w:cs="Arial"/>
          <w:lang w:val="en"/>
        </w:rPr>
        <w:t xml:space="preserve"> the mediation by videoconference or phone.</w:t>
      </w:r>
      <w:r w:rsidR="004C6D98">
        <w:rPr>
          <w:rFonts w:ascii="Arial" w:hAnsi="Arial" w:cs="Arial"/>
          <w:lang w:val="en"/>
        </w:rPr>
        <w:t xml:space="preserve">  </w:t>
      </w:r>
      <w:r w:rsidR="00962874">
        <w:rPr>
          <w:rFonts w:ascii="Arial" w:hAnsi="Arial" w:cs="Arial"/>
          <w:lang w:val="en"/>
        </w:rPr>
        <w:t xml:space="preserve">Notwithstanding Local Rule 9.01(a) and Local Rule 9.07(b), </w:t>
      </w:r>
      <w:r w:rsidR="00FF7A4A">
        <w:rPr>
          <w:rFonts w:ascii="Arial" w:hAnsi="Arial" w:cs="Arial"/>
          <w:lang w:val="en"/>
        </w:rPr>
        <w:t>a</w:t>
      </w:r>
      <w:r w:rsidR="004C6D98">
        <w:rPr>
          <w:rFonts w:ascii="Arial" w:hAnsi="Arial" w:cs="Arial"/>
          <w:lang w:val="en"/>
        </w:rPr>
        <w:t xml:space="preserve"> failure </w:t>
      </w:r>
      <w:r w:rsidR="00FF7A4A">
        <w:rPr>
          <w:rFonts w:ascii="Arial" w:hAnsi="Arial" w:cs="Arial"/>
          <w:lang w:val="en"/>
        </w:rPr>
        <w:t xml:space="preserve">by any required person </w:t>
      </w:r>
      <w:r w:rsidR="004C6D98">
        <w:rPr>
          <w:rFonts w:ascii="Arial" w:hAnsi="Arial" w:cs="Arial"/>
          <w:lang w:val="en"/>
        </w:rPr>
        <w:t>to participate in good faith shall be promptly reported to the assigned magistrate judge during or immediately upon the conclusion of the mediation.</w:t>
      </w:r>
      <w:r w:rsidR="009F3426">
        <w:rPr>
          <w:rFonts w:ascii="Arial" w:hAnsi="Arial" w:cs="Arial"/>
          <w:lang w:val="en"/>
        </w:rPr>
        <w:t xml:space="preserve">  </w:t>
      </w:r>
      <w:r w:rsidR="00776A6B">
        <w:rPr>
          <w:rFonts w:ascii="Arial" w:hAnsi="Arial" w:cs="Arial"/>
          <w:lang w:val="en"/>
        </w:rPr>
        <w:t>All required parties</w:t>
      </w:r>
      <w:r w:rsidR="009F3426">
        <w:rPr>
          <w:rFonts w:ascii="Arial" w:hAnsi="Arial" w:cs="Arial"/>
          <w:lang w:val="en"/>
        </w:rPr>
        <w:t xml:space="preserve"> must be prepared to </w:t>
      </w:r>
      <w:r w:rsidR="00776A6B">
        <w:rPr>
          <w:rFonts w:ascii="Arial" w:hAnsi="Arial" w:cs="Arial"/>
          <w:lang w:val="en"/>
        </w:rPr>
        <w:t xml:space="preserve">meaningfully participate for a full day or more, and </w:t>
      </w:r>
      <w:r w:rsidR="00837ECD" w:rsidRPr="00837ECD">
        <w:rPr>
          <w:rFonts w:ascii="Arial" w:hAnsi="Arial" w:cs="Arial"/>
          <w:b/>
          <w:bCs/>
          <w:lang w:val="en"/>
        </w:rPr>
        <w:t xml:space="preserve">the mediation shall continue (including additional conferences) until adjourned by </w:t>
      </w:r>
      <w:r w:rsidR="00C66364">
        <w:rPr>
          <w:rFonts w:ascii="Arial" w:hAnsi="Arial" w:cs="Arial"/>
          <w:b/>
          <w:bCs/>
          <w:lang w:val="en"/>
        </w:rPr>
        <w:t xml:space="preserve">the </w:t>
      </w:r>
      <w:r w:rsidR="00837ECD" w:rsidRPr="00837ECD">
        <w:rPr>
          <w:rFonts w:ascii="Arial" w:hAnsi="Arial" w:cs="Arial"/>
          <w:b/>
          <w:bCs/>
          <w:lang w:val="en"/>
        </w:rPr>
        <w:t>mediator</w:t>
      </w:r>
      <w:r w:rsidR="00837ECD">
        <w:rPr>
          <w:rFonts w:ascii="Arial" w:hAnsi="Arial" w:cs="Arial"/>
          <w:lang w:val="en"/>
        </w:rPr>
        <w:t>.  O</w:t>
      </w:r>
      <w:r w:rsidR="00776A6B">
        <w:rPr>
          <w:rFonts w:ascii="Arial" w:hAnsi="Arial" w:cs="Arial"/>
          <w:lang w:val="en"/>
        </w:rPr>
        <w:t>nly the mediator may declare an impasse, which shall not be the result of one or more required persons unreasonably declaring themselves no longer available.</w:t>
      </w:r>
    </w:p>
    <w:p w:rsidR="00F345A2" w:rsidRPr="00467D50" w:rsidRDefault="00F345A2" w:rsidP="000650A3">
      <w:pPr>
        <w:pStyle w:val="ListParagraph"/>
        <w:keepNext/>
        <w:numPr>
          <w:ilvl w:val="0"/>
          <w:numId w:val="7"/>
        </w:numPr>
        <w:spacing w:line="480" w:lineRule="auto"/>
        <w:ind w:left="720"/>
        <w:jc w:val="both"/>
        <w:rPr>
          <w:rFonts w:ascii="Arial" w:hAnsi="Arial" w:cs="Arial"/>
          <w:b/>
          <w:lang w:val="en"/>
        </w:rPr>
      </w:pPr>
      <w:r w:rsidRPr="00467D50">
        <w:rPr>
          <w:rFonts w:ascii="Arial" w:hAnsi="Arial" w:cs="Arial"/>
          <w:b/>
          <w:lang w:val="en"/>
        </w:rPr>
        <w:t xml:space="preserve">Admission, </w:t>
      </w:r>
      <w:r w:rsidR="00B06932">
        <w:rPr>
          <w:rFonts w:ascii="Arial" w:hAnsi="Arial" w:cs="Arial"/>
          <w:b/>
          <w:lang w:val="en"/>
        </w:rPr>
        <w:t>s</w:t>
      </w:r>
      <w:r w:rsidRPr="00467D50">
        <w:rPr>
          <w:rFonts w:ascii="Arial" w:hAnsi="Arial" w:cs="Arial"/>
          <w:b/>
          <w:lang w:val="en"/>
        </w:rPr>
        <w:t xml:space="preserve">ubstitution and </w:t>
      </w:r>
      <w:r w:rsidR="00B06932">
        <w:rPr>
          <w:rFonts w:ascii="Arial" w:hAnsi="Arial" w:cs="Arial"/>
          <w:b/>
          <w:lang w:val="en"/>
        </w:rPr>
        <w:t>w</w:t>
      </w:r>
      <w:r w:rsidRPr="00467D50">
        <w:rPr>
          <w:rFonts w:ascii="Arial" w:hAnsi="Arial" w:cs="Arial"/>
          <w:b/>
          <w:lang w:val="en"/>
        </w:rPr>
        <w:t xml:space="preserve">ithdrawal of </w:t>
      </w:r>
      <w:r w:rsidR="00B06932">
        <w:rPr>
          <w:rFonts w:ascii="Arial" w:hAnsi="Arial" w:cs="Arial"/>
          <w:b/>
          <w:lang w:val="en"/>
        </w:rPr>
        <w:t>c</w:t>
      </w:r>
      <w:r w:rsidRPr="00467D50">
        <w:rPr>
          <w:rFonts w:ascii="Arial" w:hAnsi="Arial" w:cs="Arial"/>
          <w:b/>
          <w:lang w:val="en"/>
        </w:rPr>
        <w:t>ounsel</w:t>
      </w:r>
    </w:p>
    <w:p w:rsidR="00F345A2" w:rsidRDefault="00F345A2" w:rsidP="000650A3">
      <w:pPr>
        <w:keepNext/>
        <w:spacing w:line="480" w:lineRule="auto"/>
        <w:ind w:firstLine="720"/>
        <w:jc w:val="both"/>
        <w:rPr>
          <w:rFonts w:ascii="Arial" w:hAnsi="Arial" w:cs="Arial"/>
          <w:lang w:val="en"/>
        </w:rPr>
      </w:pPr>
      <w:r>
        <w:rPr>
          <w:rFonts w:ascii="Arial" w:hAnsi="Arial" w:cs="Arial"/>
          <w:lang w:val="en"/>
        </w:rPr>
        <w:t>M</w:t>
      </w:r>
      <w:r w:rsidR="00CC67B6">
        <w:rPr>
          <w:rFonts w:ascii="Arial" w:hAnsi="Arial" w:cs="Arial"/>
          <w:lang w:val="en"/>
        </w:rPr>
        <w:t xml:space="preserve">otions </w:t>
      </w:r>
      <w:r w:rsidR="00A44FF4">
        <w:rPr>
          <w:rFonts w:ascii="Arial" w:hAnsi="Arial" w:cs="Arial"/>
          <w:lang w:val="en"/>
        </w:rPr>
        <w:t xml:space="preserve">for special admission pursuant </w:t>
      </w:r>
      <w:r w:rsidR="007A5706">
        <w:rPr>
          <w:rFonts w:ascii="Arial" w:hAnsi="Arial" w:cs="Arial"/>
          <w:lang w:val="en"/>
        </w:rPr>
        <w:t xml:space="preserve">to </w:t>
      </w:r>
      <w:r w:rsidR="00A44FF4">
        <w:rPr>
          <w:rFonts w:ascii="Arial" w:hAnsi="Arial" w:cs="Arial"/>
          <w:lang w:val="en"/>
        </w:rPr>
        <w:t xml:space="preserve">Local Rule 2.01, or </w:t>
      </w:r>
      <w:r w:rsidR="00CC67B6">
        <w:rPr>
          <w:rFonts w:ascii="Arial" w:hAnsi="Arial" w:cs="Arial"/>
          <w:lang w:val="en"/>
        </w:rPr>
        <w:t xml:space="preserve">to substitute </w:t>
      </w:r>
      <w:r w:rsidR="00A44FF4">
        <w:rPr>
          <w:rFonts w:ascii="Arial" w:hAnsi="Arial" w:cs="Arial"/>
          <w:lang w:val="en"/>
        </w:rPr>
        <w:t xml:space="preserve">or </w:t>
      </w:r>
      <w:r w:rsidR="00A44FF4">
        <w:rPr>
          <w:rFonts w:ascii="Arial" w:hAnsi="Arial" w:cs="Arial"/>
          <w:lang w:val="en"/>
        </w:rPr>
        <w:lastRenderedPageBreak/>
        <w:t>withdraw counsel pursuant to Local Rule 2.03, m</w:t>
      </w:r>
      <w:r>
        <w:rPr>
          <w:rFonts w:ascii="Arial" w:hAnsi="Arial" w:cs="Arial"/>
          <w:lang w:val="en"/>
        </w:rPr>
        <w:t xml:space="preserve">ust comply with </w:t>
      </w:r>
      <w:r w:rsidR="00A44FF4">
        <w:rPr>
          <w:rFonts w:ascii="Arial" w:hAnsi="Arial" w:cs="Arial"/>
          <w:lang w:val="en"/>
        </w:rPr>
        <w:t xml:space="preserve">Local Rule </w:t>
      </w:r>
      <w:r>
        <w:rPr>
          <w:rFonts w:ascii="Arial" w:hAnsi="Arial" w:cs="Arial"/>
          <w:lang w:val="en"/>
        </w:rPr>
        <w:t>3.01(g)</w:t>
      </w:r>
      <w:r w:rsidR="00A44FF4">
        <w:rPr>
          <w:rFonts w:ascii="Arial" w:hAnsi="Arial" w:cs="Arial"/>
          <w:lang w:val="en"/>
        </w:rPr>
        <w:t>.</w:t>
      </w:r>
      <w:r w:rsidR="00F36C65">
        <w:rPr>
          <w:rFonts w:ascii="Arial" w:hAnsi="Arial" w:cs="Arial"/>
          <w:lang w:val="en"/>
        </w:rPr>
        <w:t xml:space="preserve">  Counsel specially admitted </w:t>
      </w:r>
      <w:r w:rsidR="00F36C65" w:rsidRPr="00F36C65">
        <w:rPr>
          <w:rFonts w:ascii="Arial" w:hAnsi="Arial" w:cs="Arial"/>
          <w:i/>
          <w:iCs/>
          <w:lang w:val="en"/>
        </w:rPr>
        <w:t xml:space="preserve">pro </w:t>
      </w:r>
      <w:proofErr w:type="spellStart"/>
      <w:r w:rsidR="00F36C65" w:rsidRPr="00F36C65">
        <w:rPr>
          <w:rFonts w:ascii="Arial" w:hAnsi="Arial" w:cs="Arial"/>
          <w:i/>
          <w:iCs/>
          <w:lang w:val="en"/>
        </w:rPr>
        <w:t>hac</w:t>
      </w:r>
      <w:proofErr w:type="spellEnd"/>
      <w:r w:rsidR="00F36C65" w:rsidRPr="00F36C65">
        <w:rPr>
          <w:rFonts w:ascii="Arial" w:hAnsi="Arial" w:cs="Arial"/>
          <w:i/>
          <w:iCs/>
          <w:lang w:val="en"/>
        </w:rPr>
        <w:t xml:space="preserve"> vice</w:t>
      </w:r>
      <w:r w:rsidR="00F36C65">
        <w:rPr>
          <w:rFonts w:ascii="Arial" w:hAnsi="Arial" w:cs="Arial"/>
          <w:lang w:val="en"/>
        </w:rPr>
        <w:t xml:space="preserve"> may bring personal electronic devices into the courthouse by presenting their order of admission to the court security officers.</w:t>
      </w:r>
      <w:r w:rsidR="00F36C65" w:rsidRPr="00A6037C">
        <w:rPr>
          <w:rStyle w:val="FootnoteReference"/>
          <w:rFonts w:ascii="Arial" w:hAnsi="Arial" w:cs="Arial"/>
          <w:vertAlign w:val="superscript"/>
          <w:lang w:val="en"/>
        </w:rPr>
        <w:footnoteReference w:id="6"/>
      </w:r>
    </w:p>
    <w:p w:rsidR="00F345A2" w:rsidRDefault="00A44FF4" w:rsidP="000650A3">
      <w:pPr>
        <w:spacing w:line="480" w:lineRule="auto"/>
        <w:ind w:firstLine="720"/>
        <w:jc w:val="both"/>
        <w:rPr>
          <w:rFonts w:ascii="Arial" w:hAnsi="Arial" w:cs="Arial"/>
          <w:lang w:val="en"/>
        </w:rPr>
      </w:pPr>
      <w:r>
        <w:rPr>
          <w:rFonts w:ascii="Arial" w:hAnsi="Arial" w:cs="Arial"/>
          <w:lang w:val="en"/>
        </w:rPr>
        <w:t>Motions to withdraw that will</w:t>
      </w:r>
      <w:r w:rsidR="007A5706">
        <w:rPr>
          <w:rFonts w:ascii="Arial" w:hAnsi="Arial" w:cs="Arial"/>
          <w:lang w:val="en"/>
        </w:rPr>
        <w:t>, if granted,</w:t>
      </w:r>
      <w:r>
        <w:rPr>
          <w:rFonts w:ascii="Arial" w:hAnsi="Arial" w:cs="Arial"/>
          <w:lang w:val="en"/>
        </w:rPr>
        <w:t xml:space="preserve"> leave a party or parties unrepresented by counsel must include the mailing address, e-mail address and phone number </w:t>
      </w:r>
      <w:r w:rsidR="00376F30">
        <w:rPr>
          <w:rFonts w:ascii="Arial" w:hAnsi="Arial" w:cs="Arial"/>
          <w:lang w:val="en"/>
        </w:rPr>
        <w:t>to be used for service upon and conferences with each unrepresented party.  All such motions will be set for an in-person hearing.</w:t>
      </w:r>
    </w:p>
    <w:p w:rsidR="000A0C39" w:rsidRPr="00565DEE" w:rsidRDefault="000A0C39" w:rsidP="000650A3">
      <w:pPr>
        <w:pStyle w:val="ListParagraph"/>
        <w:keepNext/>
        <w:numPr>
          <w:ilvl w:val="0"/>
          <w:numId w:val="7"/>
        </w:numPr>
        <w:spacing w:line="480" w:lineRule="auto"/>
        <w:ind w:left="720"/>
        <w:jc w:val="both"/>
        <w:rPr>
          <w:rFonts w:ascii="Arial" w:hAnsi="Arial" w:cs="Arial"/>
          <w:b/>
          <w:lang w:val="en"/>
        </w:rPr>
      </w:pPr>
      <w:r w:rsidRPr="00565DEE">
        <w:rPr>
          <w:rFonts w:ascii="Arial" w:hAnsi="Arial" w:cs="Arial"/>
          <w:b/>
          <w:lang w:val="en"/>
        </w:rPr>
        <w:t>Notices of unavailability</w:t>
      </w:r>
    </w:p>
    <w:p w:rsidR="000A0C39" w:rsidRPr="00C55C24" w:rsidRDefault="000A0C39" w:rsidP="000650A3">
      <w:pPr>
        <w:keepNext/>
        <w:spacing w:line="480" w:lineRule="auto"/>
        <w:ind w:firstLine="720"/>
        <w:jc w:val="both"/>
        <w:rPr>
          <w:rFonts w:ascii="Arial" w:hAnsi="Arial" w:cs="Arial"/>
          <w:lang w:val="en"/>
        </w:rPr>
      </w:pPr>
      <w:r>
        <w:rPr>
          <w:rFonts w:ascii="Arial" w:hAnsi="Arial" w:cs="Arial"/>
          <w:lang w:val="en"/>
        </w:rPr>
        <w:t xml:space="preserve">There is no provision in the federal or local rules for such notices, and they are routinely treated as a nullity and stricken.  Parties and counsel are to take appropriate measures to </w:t>
      </w:r>
      <w:r w:rsidR="009029A4">
        <w:rPr>
          <w:rFonts w:ascii="Arial" w:hAnsi="Arial" w:cs="Arial"/>
          <w:lang w:val="en"/>
        </w:rPr>
        <w:t xml:space="preserve">arrange </w:t>
      </w:r>
      <w:r>
        <w:rPr>
          <w:rFonts w:ascii="Arial" w:hAnsi="Arial" w:cs="Arial"/>
          <w:lang w:val="en"/>
        </w:rPr>
        <w:t>cover</w:t>
      </w:r>
      <w:r w:rsidR="009029A4">
        <w:rPr>
          <w:rFonts w:ascii="Arial" w:hAnsi="Arial" w:cs="Arial"/>
          <w:lang w:val="en"/>
        </w:rPr>
        <w:t>age</w:t>
      </w:r>
      <w:r>
        <w:rPr>
          <w:rFonts w:ascii="Arial" w:hAnsi="Arial" w:cs="Arial"/>
          <w:lang w:val="en"/>
        </w:rPr>
        <w:t xml:space="preserve"> </w:t>
      </w:r>
      <w:r w:rsidR="009029A4">
        <w:rPr>
          <w:rFonts w:ascii="Arial" w:hAnsi="Arial" w:cs="Arial"/>
          <w:lang w:val="en"/>
        </w:rPr>
        <w:t xml:space="preserve">for </w:t>
      </w:r>
      <w:r>
        <w:rPr>
          <w:rFonts w:ascii="Arial" w:hAnsi="Arial" w:cs="Arial"/>
          <w:lang w:val="en"/>
        </w:rPr>
        <w:t>absences, promptly request and respond to proposed accommodations, and timely approach the Court for extensions or continuances as warranted.</w:t>
      </w:r>
    </w:p>
    <w:p w:rsidR="00013D65" w:rsidRDefault="00013D65" w:rsidP="000650A3">
      <w:pPr>
        <w:pStyle w:val="ListParagraph"/>
        <w:keepNext/>
        <w:numPr>
          <w:ilvl w:val="0"/>
          <w:numId w:val="7"/>
        </w:numPr>
        <w:spacing w:line="480" w:lineRule="auto"/>
        <w:ind w:left="720"/>
        <w:jc w:val="both"/>
        <w:rPr>
          <w:rFonts w:ascii="Arial" w:hAnsi="Arial" w:cs="Arial"/>
          <w:b/>
          <w:bCs/>
          <w:lang w:val="en"/>
        </w:rPr>
      </w:pPr>
      <w:r>
        <w:rPr>
          <w:rFonts w:ascii="Arial" w:hAnsi="Arial" w:cs="Arial"/>
          <w:b/>
          <w:bCs/>
          <w:lang w:val="en"/>
        </w:rPr>
        <w:t>Properly utilizing electronic filing</w:t>
      </w:r>
    </w:p>
    <w:p w:rsidR="009029A4" w:rsidRDefault="00013D65" w:rsidP="000650A3">
      <w:pPr>
        <w:pStyle w:val="ListParagraph"/>
        <w:keepNext/>
        <w:spacing w:line="480" w:lineRule="auto"/>
        <w:ind w:left="0" w:firstLine="720"/>
        <w:jc w:val="both"/>
        <w:rPr>
          <w:rFonts w:ascii="Arial" w:hAnsi="Arial" w:cs="Arial"/>
          <w:bCs/>
          <w:lang w:val="en"/>
        </w:rPr>
      </w:pPr>
      <w:r>
        <w:rPr>
          <w:rFonts w:ascii="Arial" w:hAnsi="Arial" w:cs="Arial"/>
          <w:bCs/>
          <w:lang w:val="en"/>
        </w:rPr>
        <w:t xml:space="preserve">The Court expects electronic filers to make full and thoughtful use of </w:t>
      </w:r>
      <w:r w:rsidR="009029A4">
        <w:rPr>
          <w:rFonts w:ascii="Arial" w:hAnsi="Arial" w:cs="Arial"/>
          <w:bCs/>
          <w:lang w:val="en"/>
        </w:rPr>
        <w:t>the</w:t>
      </w:r>
      <w:r>
        <w:rPr>
          <w:rFonts w:ascii="Arial" w:hAnsi="Arial" w:cs="Arial"/>
          <w:bCs/>
          <w:lang w:val="en"/>
        </w:rPr>
        <w:t xml:space="preserve"> CM/ECF capabilities.  In particular, documents that accompany a pleading, motion or memorandum are to be filed as separate PDF files, and each is to be given a concise, unique and objective label using the category and description fields provided, such as “Exhibit A – Sale and Purchase Agreement,” “Exhibit B – Demand Letter,” and “Exhibit C – Deposition of Denver Smith” and not “Exhibit – A,” “Exhibit – B,” and “Exhibit – C.”  The </w:t>
      </w:r>
      <w:r>
        <w:rPr>
          <w:rFonts w:ascii="Arial" w:hAnsi="Arial" w:cs="Arial"/>
          <w:bCs/>
          <w:lang w:val="en"/>
        </w:rPr>
        <w:lastRenderedPageBreak/>
        <w:t>Court may strike filings that fail to heed this request.</w:t>
      </w:r>
    </w:p>
    <w:p w:rsidR="00013D65" w:rsidRDefault="00013D65" w:rsidP="000650A3">
      <w:pPr>
        <w:pStyle w:val="ListParagraph"/>
        <w:spacing w:line="480" w:lineRule="auto"/>
        <w:ind w:left="0" w:firstLine="720"/>
        <w:jc w:val="both"/>
        <w:rPr>
          <w:rFonts w:ascii="Arial" w:hAnsi="Arial" w:cs="Arial"/>
          <w:bCs/>
          <w:lang w:val="en"/>
        </w:rPr>
      </w:pPr>
      <w:r>
        <w:rPr>
          <w:rFonts w:ascii="Arial" w:hAnsi="Arial" w:cs="Arial"/>
          <w:bCs/>
          <w:lang w:val="en"/>
        </w:rPr>
        <w:t>A previously filed document need not be refiled and should instead be cited by document number (for example, “Doc. 1-1”).</w:t>
      </w:r>
    </w:p>
    <w:p w:rsidR="00F25A1B" w:rsidRDefault="00F25A1B" w:rsidP="00815B7E">
      <w:pPr>
        <w:jc w:val="both"/>
        <w:rPr>
          <w:rFonts w:ascii="Arial" w:hAnsi="Arial" w:cs="Arial"/>
        </w:rPr>
      </w:pPr>
    </w:p>
    <w:p w:rsidR="008D194C" w:rsidRPr="002D52D3" w:rsidRDefault="00F25A1B" w:rsidP="00815B7E">
      <w:pPr>
        <w:jc w:val="both"/>
        <w:rPr>
          <w:rFonts w:ascii="Arial" w:hAnsi="Arial" w:cs="Arial"/>
        </w:rPr>
      </w:pPr>
      <w:r>
        <w:rPr>
          <w:rFonts w:ascii="Arial" w:hAnsi="Arial" w:cs="Arial"/>
        </w:rPr>
        <w:t>Si</w:t>
      </w:r>
      <w:r w:rsidR="008D194C" w:rsidRPr="002D52D3">
        <w:rPr>
          <w:rFonts w:ascii="Arial" w:hAnsi="Arial" w:cs="Arial"/>
        </w:rPr>
        <w:t>gnature</w:t>
      </w:r>
      <w:r>
        <w:rPr>
          <w:rFonts w:ascii="Arial" w:hAnsi="Arial" w:cs="Arial"/>
        </w:rPr>
        <w:t>s</w:t>
      </w:r>
      <w:r w:rsidR="008D194C" w:rsidRPr="002D52D3">
        <w:rPr>
          <w:rFonts w:ascii="Arial" w:hAnsi="Arial" w:cs="Arial"/>
        </w:rPr>
        <w:t xml:space="preserve"> of </w:t>
      </w:r>
      <w:r w:rsidR="00815B7E">
        <w:rPr>
          <w:rFonts w:ascii="Arial" w:hAnsi="Arial" w:cs="Arial"/>
        </w:rPr>
        <w:t xml:space="preserve">all </w:t>
      </w:r>
      <w:r>
        <w:rPr>
          <w:rFonts w:ascii="Arial" w:hAnsi="Arial" w:cs="Arial"/>
        </w:rPr>
        <w:t>c</w:t>
      </w:r>
      <w:r w:rsidR="008D194C" w:rsidRPr="002D52D3">
        <w:rPr>
          <w:rFonts w:ascii="Arial" w:hAnsi="Arial" w:cs="Arial"/>
        </w:rPr>
        <w:t xml:space="preserve">ounsel and </w:t>
      </w:r>
      <w:r>
        <w:rPr>
          <w:rFonts w:ascii="Arial" w:hAnsi="Arial" w:cs="Arial"/>
        </w:rPr>
        <w:t>u</w:t>
      </w:r>
      <w:r w:rsidR="008D194C" w:rsidRPr="002D52D3">
        <w:rPr>
          <w:rFonts w:ascii="Arial" w:hAnsi="Arial" w:cs="Arial"/>
        </w:rPr>
        <w:t xml:space="preserve">nrepresented </w:t>
      </w:r>
      <w:r>
        <w:rPr>
          <w:rFonts w:ascii="Arial" w:hAnsi="Arial" w:cs="Arial"/>
        </w:rPr>
        <w:t>p</w:t>
      </w:r>
      <w:r w:rsidR="008D194C" w:rsidRPr="002D52D3">
        <w:rPr>
          <w:rFonts w:ascii="Arial" w:hAnsi="Arial" w:cs="Arial"/>
        </w:rPr>
        <w:t>arties</w:t>
      </w:r>
      <w:r>
        <w:rPr>
          <w:rFonts w:ascii="Arial" w:hAnsi="Arial" w:cs="Arial"/>
        </w:rPr>
        <w:t xml:space="preserve"> (include for each the information set forth in Local Rule </w:t>
      </w:r>
      <w:r w:rsidRPr="002D52D3">
        <w:rPr>
          <w:rFonts w:ascii="Arial" w:hAnsi="Arial" w:cs="Arial"/>
        </w:rPr>
        <w:t>1.05</w:t>
      </w:r>
      <w:r>
        <w:rPr>
          <w:rFonts w:ascii="Arial" w:hAnsi="Arial" w:cs="Arial"/>
        </w:rPr>
        <w:t>(d)</w:t>
      </w:r>
      <w:r w:rsidRPr="002D52D3">
        <w:rPr>
          <w:rFonts w:ascii="Arial" w:hAnsi="Arial" w:cs="Arial"/>
        </w:rPr>
        <w:t>)</w:t>
      </w:r>
      <w:r w:rsidR="00B82C56">
        <w:rPr>
          <w:rFonts w:ascii="Arial" w:hAnsi="Arial" w:cs="Arial"/>
        </w:rPr>
        <w:t>:</w:t>
      </w:r>
    </w:p>
    <w:p w:rsidR="00FB41B3" w:rsidRDefault="00FB41B3" w:rsidP="00815B7E">
      <w:pPr>
        <w:autoSpaceDE/>
        <w:autoSpaceDN/>
        <w:adjustRightInd/>
        <w:spacing w:after="200" w:line="276" w:lineRule="auto"/>
        <w:rPr>
          <w:rFonts w:ascii="Arial" w:hAnsi="Arial" w:cs="Arial"/>
        </w:rPr>
      </w:pPr>
    </w:p>
    <w:p w:rsidR="00F25A1B" w:rsidRDefault="00F25A1B" w:rsidP="000650A3">
      <w:pPr>
        <w:autoSpaceDE/>
        <w:autoSpaceDN/>
        <w:adjustRightInd/>
        <w:spacing w:after="200" w:line="276" w:lineRule="auto"/>
        <w:rPr>
          <w:rFonts w:ascii="Arial" w:hAnsi="Arial" w:cs="Arial"/>
        </w:rPr>
      </w:pPr>
    </w:p>
    <w:sectPr w:rsidR="00F25A1B" w:rsidSect="00184DDC">
      <w:footerReference w:type="default" r:id="rId8"/>
      <w:type w:val="continuous"/>
      <w:pgSz w:w="12240" w:h="15840"/>
      <w:pgMar w:top="1440" w:right="1440" w:bottom="1440" w:left="1440" w:header="144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D6C" w:rsidRDefault="009C3D6C" w:rsidP="008D194C">
      <w:r>
        <w:separator/>
      </w:r>
    </w:p>
  </w:endnote>
  <w:endnote w:type="continuationSeparator" w:id="0">
    <w:p w:rsidR="009C3D6C" w:rsidRDefault="009C3D6C" w:rsidP="008D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5441628"/>
      <w:docPartObj>
        <w:docPartGallery w:val="Page Numbers (Bottom of Page)"/>
        <w:docPartUnique/>
      </w:docPartObj>
    </w:sdtPr>
    <w:sdtEndPr>
      <w:rPr>
        <w:noProof/>
      </w:rPr>
    </w:sdtEndPr>
    <w:sdtContent>
      <w:p w:rsidR="00025D6D" w:rsidRPr="00025D6D" w:rsidRDefault="00025D6D">
        <w:pPr>
          <w:pStyle w:val="Footer"/>
          <w:jc w:val="center"/>
          <w:rPr>
            <w:rFonts w:ascii="Arial" w:hAnsi="Arial" w:cs="Arial"/>
          </w:rPr>
        </w:pPr>
        <w:r w:rsidRPr="00025D6D">
          <w:rPr>
            <w:rFonts w:ascii="Arial" w:hAnsi="Arial" w:cs="Arial"/>
          </w:rPr>
          <w:fldChar w:fldCharType="begin"/>
        </w:r>
        <w:r w:rsidRPr="00025D6D">
          <w:rPr>
            <w:rFonts w:ascii="Arial" w:hAnsi="Arial" w:cs="Arial"/>
          </w:rPr>
          <w:instrText xml:space="preserve"> PAGE   \* MERGEFORMAT </w:instrText>
        </w:r>
        <w:r w:rsidRPr="00025D6D">
          <w:rPr>
            <w:rFonts w:ascii="Arial" w:hAnsi="Arial" w:cs="Arial"/>
          </w:rPr>
          <w:fldChar w:fldCharType="separate"/>
        </w:r>
        <w:r w:rsidRPr="00025D6D">
          <w:rPr>
            <w:rFonts w:ascii="Arial" w:hAnsi="Arial" w:cs="Arial"/>
            <w:noProof/>
          </w:rPr>
          <w:t>2</w:t>
        </w:r>
        <w:r w:rsidRPr="00025D6D">
          <w:rPr>
            <w:rFonts w:ascii="Arial" w:hAnsi="Arial" w:cs="Arial"/>
            <w:noProof/>
          </w:rPr>
          <w:fldChar w:fldCharType="end"/>
        </w:r>
      </w:p>
    </w:sdtContent>
  </w:sdt>
  <w:p w:rsidR="008D194C" w:rsidRDefault="008D19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D6C" w:rsidRDefault="009C3D6C" w:rsidP="008D194C">
      <w:r>
        <w:separator/>
      </w:r>
    </w:p>
  </w:footnote>
  <w:footnote w:type="continuationSeparator" w:id="0">
    <w:p w:rsidR="009C3D6C" w:rsidRDefault="009C3D6C" w:rsidP="008D194C">
      <w:r>
        <w:continuationSeparator/>
      </w:r>
    </w:p>
  </w:footnote>
  <w:footnote w:id="1">
    <w:p w:rsidR="00525ADC" w:rsidRPr="00F36C65" w:rsidRDefault="00525ADC" w:rsidP="00525ADC">
      <w:pPr>
        <w:pStyle w:val="FootnoteText"/>
        <w:ind w:left="180" w:hanging="180"/>
        <w:jc w:val="both"/>
        <w:rPr>
          <w:rFonts w:ascii="Arial" w:hAnsi="Arial" w:cs="Arial"/>
          <w:sz w:val="24"/>
          <w:szCs w:val="24"/>
        </w:rPr>
      </w:pPr>
      <w:r w:rsidRPr="00F36C65">
        <w:rPr>
          <w:rStyle w:val="FootnoteReference"/>
          <w:rFonts w:ascii="Arial" w:hAnsi="Arial" w:cs="Arial"/>
          <w:sz w:val="24"/>
          <w:szCs w:val="24"/>
          <w:vertAlign w:val="superscript"/>
        </w:rPr>
        <w:footnoteRef/>
      </w:r>
      <w:r w:rsidRPr="00F36C65">
        <w:rPr>
          <w:rFonts w:ascii="Arial" w:hAnsi="Arial" w:cs="Arial"/>
          <w:sz w:val="24"/>
          <w:szCs w:val="24"/>
        </w:rPr>
        <w:t xml:space="preserve"> An MS Word version of this form is available under the “Forms” tab on the assigned magistrate judge’s website.  Utilizing the form, the parties should </w:t>
      </w:r>
      <w:r w:rsidR="005335EB">
        <w:rPr>
          <w:rFonts w:ascii="Arial" w:hAnsi="Arial" w:cs="Arial"/>
          <w:sz w:val="24"/>
          <w:szCs w:val="24"/>
        </w:rPr>
        <w:t xml:space="preserve">complete the caption and </w:t>
      </w:r>
      <w:r w:rsidRPr="00F36C65">
        <w:rPr>
          <w:rFonts w:ascii="Arial" w:hAnsi="Arial" w:cs="Arial"/>
          <w:sz w:val="24"/>
          <w:szCs w:val="24"/>
        </w:rPr>
        <w:t>type their responses and then file this document as directed.</w:t>
      </w:r>
    </w:p>
  </w:footnote>
  <w:footnote w:id="2">
    <w:p w:rsidR="00BB3E2E" w:rsidRPr="00F36C65" w:rsidRDefault="00BB3E2E">
      <w:pPr>
        <w:pStyle w:val="FootnoteText"/>
        <w:rPr>
          <w:rFonts w:ascii="Arial" w:hAnsi="Arial" w:cs="Arial"/>
          <w:sz w:val="24"/>
          <w:szCs w:val="24"/>
        </w:rPr>
      </w:pPr>
      <w:r w:rsidRPr="00F36C65">
        <w:rPr>
          <w:rStyle w:val="FootnoteReference"/>
          <w:rFonts w:ascii="Arial" w:hAnsi="Arial" w:cs="Arial"/>
          <w:sz w:val="24"/>
          <w:szCs w:val="24"/>
          <w:vertAlign w:val="superscript"/>
        </w:rPr>
        <w:footnoteRef/>
      </w:r>
      <w:r w:rsidRPr="00F36C65">
        <w:rPr>
          <w:rFonts w:ascii="Arial" w:hAnsi="Arial" w:cs="Arial"/>
          <w:sz w:val="24"/>
          <w:szCs w:val="24"/>
        </w:rPr>
        <w:t xml:space="preserve"> The Court cannot compel parties to enter into a confidentiality agreement.  If a party unreasonably claims protection for, or opposes protecting, confidential information, then the Court may impose an award of attorney’s fees and costs against the offending party or counsel.  </w:t>
      </w:r>
      <w:r w:rsidRPr="00F36C65">
        <w:rPr>
          <w:rFonts w:ascii="Arial" w:hAnsi="Arial" w:cs="Arial"/>
          <w:i/>
          <w:iCs/>
          <w:sz w:val="24"/>
          <w:szCs w:val="24"/>
        </w:rPr>
        <w:t>See</w:t>
      </w:r>
      <w:r w:rsidRPr="00F36C65">
        <w:rPr>
          <w:rFonts w:ascii="Arial" w:hAnsi="Arial" w:cs="Arial"/>
          <w:sz w:val="24"/>
          <w:szCs w:val="24"/>
        </w:rPr>
        <w:t xml:space="preserve"> Fed. R. Civ. P. 37(a)(5).</w:t>
      </w:r>
    </w:p>
    <w:p w:rsidR="00E46E99" w:rsidRPr="00F36C65" w:rsidRDefault="00E46E99">
      <w:pPr>
        <w:pStyle w:val="FootnoteText"/>
        <w:rPr>
          <w:rFonts w:ascii="Arial" w:hAnsi="Arial" w:cs="Arial"/>
          <w:sz w:val="24"/>
          <w:szCs w:val="24"/>
        </w:rPr>
      </w:pPr>
    </w:p>
  </w:footnote>
  <w:footnote w:id="3">
    <w:p w:rsidR="00D25DCB" w:rsidRPr="00F36C65" w:rsidRDefault="00D25DCB">
      <w:pPr>
        <w:pStyle w:val="FootnoteText"/>
        <w:rPr>
          <w:rFonts w:ascii="Arial" w:hAnsi="Arial" w:cs="Arial"/>
          <w:sz w:val="24"/>
          <w:szCs w:val="24"/>
          <w:lang w:val="en"/>
        </w:rPr>
      </w:pPr>
      <w:r w:rsidRPr="00F36C65">
        <w:rPr>
          <w:rStyle w:val="FootnoteReference"/>
          <w:rFonts w:ascii="Arial" w:hAnsi="Arial" w:cs="Arial"/>
          <w:sz w:val="24"/>
          <w:szCs w:val="24"/>
          <w:vertAlign w:val="superscript"/>
        </w:rPr>
        <w:footnoteRef/>
      </w:r>
      <w:r w:rsidRPr="00F36C65">
        <w:rPr>
          <w:rFonts w:ascii="Arial" w:hAnsi="Arial" w:cs="Arial"/>
          <w:sz w:val="24"/>
          <w:szCs w:val="24"/>
        </w:rPr>
        <w:t xml:space="preserve"> </w:t>
      </w:r>
      <w:r w:rsidRPr="00F36C65">
        <w:rPr>
          <w:rFonts w:ascii="Arial" w:hAnsi="Arial" w:cs="Arial"/>
          <w:sz w:val="24"/>
          <w:szCs w:val="24"/>
          <w:lang w:val="en"/>
        </w:rPr>
        <w:t xml:space="preserve">List </w:t>
      </w:r>
      <w:r w:rsidR="00830168" w:rsidRPr="00F36C65">
        <w:rPr>
          <w:rFonts w:ascii="Arial" w:hAnsi="Arial" w:cs="Arial"/>
          <w:sz w:val="24"/>
          <w:szCs w:val="24"/>
          <w:lang w:val="en"/>
        </w:rPr>
        <w:t xml:space="preserve">by </w:t>
      </w:r>
      <w:r w:rsidRPr="00F36C65">
        <w:rPr>
          <w:rFonts w:ascii="Arial" w:hAnsi="Arial" w:cs="Arial"/>
          <w:sz w:val="24"/>
          <w:szCs w:val="24"/>
          <w:lang w:val="en"/>
        </w:rPr>
        <w:t>party with descriptors (counsel, corporate representative, IT specialist, etc.).</w:t>
      </w:r>
    </w:p>
    <w:p w:rsidR="00E46E99" w:rsidRPr="00F36C65" w:rsidRDefault="00E46E99">
      <w:pPr>
        <w:pStyle w:val="FootnoteText"/>
        <w:rPr>
          <w:rFonts w:ascii="Arial" w:hAnsi="Arial" w:cs="Arial"/>
          <w:sz w:val="24"/>
          <w:szCs w:val="24"/>
        </w:rPr>
      </w:pPr>
    </w:p>
  </w:footnote>
  <w:footnote w:id="4">
    <w:p w:rsidR="000604F5" w:rsidRPr="00F36C65" w:rsidRDefault="000604F5" w:rsidP="000604F5">
      <w:pPr>
        <w:pStyle w:val="FootnoteText"/>
        <w:rPr>
          <w:rFonts w:ascii="Arial" w:hAnsi="Arial" w:cs="Arial"/>
          <w:sz w:val="24"/>
          <w:szCs w:val="24"/>
        </w:rPr>
      </w:pPr>
      <w:r w:rsidRPr="00F36C65">
        <w:rPr>
          <w:rStyle w:val="FootnoteReference"/>
          <w:rFonts w:ascii="Arial" w:hAnsi="Arial" w:cs="Arial"/>
          <w:sz w:val="24"/>
          <w:szCs w:val="24"/>
          <w:vertAlign w:val="superscript"/>
        </w:rPr>
        <w:footnoteRef/>
      </w:r>
      <w:r w:rsidRPr="00F36C65">
        <w:rPr>
          <w:rFonts w:ascii="Arial" w:hAnsi="Arial" w:cs="Arial"/>
          <w:sz w:val="24"/>
          <w:szCs w:val="24"/>
        </w:rPr>
        <w:t xml:space="preserve"> </w:t>
      </w:r>
      <w:r w:rsidRPr="00F36C65">
        <w:rPr>
          <w:rFonts w:ascii="Arial" w:hAnsi="Arial" w:cs="Arial"/>
          <w:i/>
          <w:sz w:val="24"/>
          <w:szCs w:val="24"/>
        </w:rPr>
        <w:t>See also</w:t>
      </w:r>
      <w:r w:rsidRPr="00F36C65">
        <w:rPr>
          <w:rFonts w:ascii="Arial" w:hAnsi="Arial" w:cs="Arial"/>
          <w:sz w:val="24"/>
          <w:szCs w:val="24"/>
        </w:rPr>
        <w:t xml:space="preserve"> </w:t>
      </w:r>
      <w:hyperlink r:id="rId1" w:history="1">
        <w:r w:rsidR="00C2709B" w:rsidRPr="00BB5BFD">
          <w:rPr>
            <w:rStyle w:val="Hyperlink"/>
            <w:rFonts w:ascii="Arial" w:hAnsi="Arial" w:cs="Arial"/>
            <w:sz w:val="24"/>
            <w:szCs w:val="24"/>
          </w:rPr>
          <w:t xml:space="preserve">M.D. Fla. </w:t>
        </w:r>
        <w:r w:rsidRPr="00BB5BFD">
          <w:rPr>
            <w:rStyle w:val="Hyperlink"/>
            <w:rFonts w:ascii="Arial" w:hAnsi="Arial" w:cs="Arial"/>
            <w:sz w:val="24"/>
            <w:szCs w:val="24"/>
          </w:rPr>
          <w:t>Admin. Procedures for Elec. Filing</w:t>
        </w:r>
      </w:hyperlink>
      <w:r w:rsidRPr="00F36C65">
        <w:rPr>
          <w:rFonts w:ascii="Arial" w:hAnsi="Arial" w:cs="Arial"/>
          <w:sz w:val="24"/>
          <w:szCs w:val="24"/>
        </w:rPr>
        <w:t xml:space="preserve">, </w:t>
      </w:r>
      <w:r w:rsidR="00C2709B" w:rsidRPr="00F36C65">
        <w:rPr>
          <w:rFonts w:ascii="Arial" w:hAnsi="Arial" w:cs="Arial"/>
          <w:sz w:val="24"/>
          <w:szCs w:val="24"/>
        </w:rPr>
        <w:t>p</w:t>
      </w:r>
      <w:r w:rsidRPr="00F36C65">
        <w:rPr>
          <w:rFonts w:ascii="Arial" w:hAnsi="Arial" w:cs="Arial"/>
          <w:sz w:val="24"/>
          <w:szCs w:val="24"/>
        </w:rPr>
        <w:t>p.</w:t>
      </w:r>
      <w:r w:rsidR="00C2709B" w:rsidRPr="00F36C65">
        <w:rPr>
          <w:rFonts w:ascii="Arial" w:hAnsi="Arial" w:cs="Arial"/>
          <w:sz w:val="24"/>
          <w:szCs w:val="24"/>
        </w:rPr>
        <w:t xml:space="preserve"> </w:t>
      </w:r>
      <w:r w:rsidRPr="00F36C65">
        <w:rPr>
          <w:rFonts w:ascii="Arial" w:hAnsi="Arial" w:cs="Arial"/>
          <w:sz w:val="24"/>
          <w:szCs w:val="24"/>
        </w:rPr>
        <w:t>6</w:t>
      </w:r>
      <w:r w:rsidR="00C2709B" w:rsidRPr="00F36C65">
        <w:rPr>
          <w:rFonts w:ascii="Arial" w:hAnsi="Arial" w:cs="Arial"/>
          <w:sz w:val="24"/>
          <w:szCs w:val="24"/>
        </w:rPr>
        <w:t>, 11, 14.</w:t>
      </w:r>
    </w:p>
    <w:p w:rsidR="00073E75" w:rsidRPr="00F36C65" w:rsidRDefault="00073E75" w:rsidP="000604F5">
      <w:pPr>
        <w:pStyle w:val="FootnoteText"/>
        <w:rPr>
          <w:rFonts w:ascii="Arial" w:hAnsi="Arial" w:cs="Arial"/>
          <w:sz w:val="24"/>
          <w:szCs w:val="24"/>
        </w:rPr>
      </w:pPr>
    </w:p>
  </w:footnote>
  <w:footnote w:id="5">
    <w:p w:rsidR="00291046" w:rsidRPr="00F36C65" w:rsidRDefault="00291046">
      <w:pPr>
        <w:pStyle w:val="FootnoteText"/>
        <w:rPr>
          <w:rFonts w:ascii="Arial" w:hAnsi="Arial" w:cs="Arial"/>
          <w:sz w:val="24"/>
          <w:szCs w:val="24"/>
        </w:rPr>
      </w:pPr>
      <w:r w:rsidRPr="00F36C65">
        <w:rPr>
          <w:rStyle w:val="FootnoteReference"/>
          <w:rFonts w:ascii="Arial" w:hAnsi="Arial" w:cs="Arial"/>
          <w:sz w:val="24"/>
          <w:szCs w:val="24"/>
          <w:vertAlign w:val="superscript"/>
        </w:rPr>
        <w:footnoteRef/>
      </w:r>
      <w:r w:rsidRPr="00F36C65">
        <w:rPr>
          <w:rFonts w:ascii="Arial" w:hAnsi="Arial" w:cs="Arial"/>
          <w:sz w:val="24"/>
          <w:szCs w:val="24"/>
        </w:rPr>
        <w:t xml:space="preserve"> </w:t>
      </w:r>
      <w:r w:rsidRPr="00F36C65">
        <w:rPr>
          <w:rFonts w:ascii="Arial" w:hAnsi="Arial" w:cs="Arial"/>
          <w:i/>
          <w:iCs/>
          <w:sz w:val="24"/>
          <w:szCs w:val="24"/>
        </w:rPr>
        <w:t>See also</w:t>
      </w:r>
      <w:r w:rsidRPr="00F36C65">
        <w:rPr>
          <w:rFonts w:ascii="Arial" w:hAnsi="Arial" w:cs="Arial"/>
          <w:sz w:val="24"/>
          <w:szCs w:val="24"/>
        </w:rPr>
        <w:t xml:space="preserve"> </w:t>
      </w:r>
      <w:hyperlink r:id="rId2" w:history="1">
        <w:r w:rsidRPr="00BB5BFD">
          <w:rPr>
            <w:rStyle w:val="Hyperlink"/>
            <w:rFonts w:ascii="Arial" w:hAnsi="Arial" w:cs="Arial"/>
            <w:sz w:val="24"/>
            <w:szCs w:val="24"/>
          </w:rPr>
          <w:t>M</w:t>
        </w:r>
        <w:r w:rsidR="00787508" w:rsidRPr="00BB5BFD">
          <w:rPr>
            <w:rStyle w:val="Hyperlink"/>
            <w:rFonts w:ascii="Arial" w:hAnsi="Arial" w:cs="Arial"/>
            <w:sz w:val="24"/>
            <w:szCs w:val="24"/>
          </w:rPr>
          <w:t>.D. Fla.</w:t>
        </w:r>
        <w:r w:rsidRPr="00BB5BFD">
          <w:rPr>
            <w:rStyle w:val="Hyperlink"/>
            <w:rFonts w:ascii="Arial" w:hAnsi="Arial" w:cs="Arial"/>
            <w:sz w:val="24"/>
            <w:szCs w:val="24"/>
          </w:rPr>
          <w:t xml:space="preserve"> Discovery </w:t>
        </w:r>
        <w:r w:rsidR="00787508" w:rsidRPr="00BB5BFD">
          <w:rPr>
            <w:rStyle w:val="Hyperlink"/>
            <w:rFonts w:ascii="Arial" w:hAnsi="Arial" w:cs="Arial"/>
            <w:sz w:val="24"/>
            <w:szCs w:val="24"/>
          </w:rPr>
          <w:t>Manual</w:t>
        </w:r>
      </w:hyperlink>
      <w:r w:rsidR="00787508" w:rsidRPr="00F36C65">
        <w:rPr>
          <w:rFonts w:ascii="Arial" w:hAnsi="Arial" w:cs="Arial"/>
          <w:sz w:val="24"/>
          <w:szCs w:val="24"/>
        </w:rPr>
        <w:t>,</w:t>
      </w:r>
      <w:r w:rsidRPr="00F36C65">
        <w:rPr>
          <w:rFonts w:ascii="Arial" w:hAnsi="Arial" w:cs="Arial"/>
          <w:sz w:val="24"/>
          <w:szCs w:val="24"/>
        </w:rPr>
        <w:t xml:space="preserve"> §§ I.A.4; I.E.1; I.E.2.</w:t>
      </w:r>
    </w:p>
    <w:p w:rsidR="00E46E99" w:rsidRPr="00F36C65" w:rsidRDefault="00E46E99">
      <w:pPr>
        <w:pStyle w:val="FootnoteText"/>
        <w:rPr>
          <w:rFonts w:ascii="Arial" w:hAnsi="Arial" w:cs="Arial"/>
          <w:sz w:val="24"/>
          <w:szCs w:val="24"/>
        </w:rPr>
      </w:pPr>
    </w:p>
  </w:footnote>
  <w:footnote w:id="6">
    <w:p w:rsidR="00F36C65" w:rsidRDefault="00F36C65">
      <w:pPr>
        <w:pStyle w:val="FootnoteText"/>
        <w:rPr>
          <w:rFonts w:ascii="Arial" w:hAnsi="Arial" w:cs="Arial"/>
          <w:sz w:val="24"/>
          <w:szCs w:val="24"/>
        </w:rPr>
      </w:pPr>
      <w:r w:rsidRPr="00F36C65">
        <w:rPr>
          <w:rStyle w:val="FootnoteReference"/>
          <w:rFonts w:ascii="Arial" w:hAnsi="Arial" w:cs="Arial"/>
          <w:sz w:val="24"/>
          <w:szCs w:val="24"/>
          <w:vertAlign w:val="superscript"/>
        </w:rPr>
        <w:footnoteRef/>
      </w:r>
      <w:r w:rsidRPr="00F36C65">
        <w:rPr>
          <w:rFonts w:ascii="Arial" w:hAnsi="Arial" w:cs="Arial"/>
          <w:sz w:val="24"/>
          <w:szCs w:val="24"/>
        </w:rPr>
        <w:t xml:space="preserve"> </w:t>
      </w:r>
      <w:r w:rsidRPr="00F36C65">
        <w:rPr>
          <w:rFonts w:ascii="Arial" w:hAnsi="Arial" w:cs="Arial"/>
          <w:i/>
          <w:iCs/>
          <w:sz w:val="24"/>
          <w:szCs w:val="24"/>
        </w:rPr>
        <w:t>See</w:t>
      </w:r>
      <w:r w:rsidRPr="00F36C65">
        <w:rPr>
          <w:rFonts w:ascii="Arial" w:hAnsi="Arial" w:cs="Arial"/>
          <w:sz w:val="24"/>
          <w:szCs w:val="24"/>
        </w:rPr>
        <w:t xml:space="preserve"> General Order 6:13-mc-94-Orl-22 </w:t>
      </w:r>
      <w:r>
        <w:rPr>
          <w:rFonts w:ascii="Arial" w:hAnsi="Arial" w:cs="Arial"/>
          <w:sz w:val="24"/>
          <w:szCs w:val="24"/>
        </w:rPr>
        <w:t xml:space="preserve">(10/01/2013) </w:t>
      </w:r>
      <w:r w:rsidRPr="00F36C65">
        <w:rPr>
          <w:rFonts w:ascii="Arial" w:hAnsi="Arial" w:cs="Arial"/>
          <w:sz w:val="24"/>
          <w:szCs w:val="24"/>
        </w:rPr>
        <w:t>available at</w:t>
      </w:r>
      <w:r>
        <w:rPr>
          <w:rFonts w:ascii="Arial" w:hAnsi="Arial" w:cs="Arial"/>
          <w:sz w:val="24"/>
          <w:szCs w:val="24"/>
        </w:rPr>
        <w:t>:</w:t>
      </w:r>
      <w:r w:rsidRPr="00F36C65">
        <w:rPr>
          <w:rFonts w:ascii="Arial" w:hAnsi="Arial" w:cs="Arial"/>
          <w:sz w:val="24"/>
          <w:szCs w:val="24"/>
        </w:rPr>
        <w:t xml:space="preserve"> </w:t>
      </w:r>
      <w:hyperlink r:id="rId3" w:history="1">
        <w:r w:rsidRPr="00E22001">
          <w:rPr>
            <w:rStyle w:val="Hyperlink"/>
            <w:rFonts w:ascii="Arial" w:hAnsi="Arial" w:cs="Arial"/>
            <w:sz w:val="24"/>
            <w:szCs w:val="24"/>
          </w:rPr>
          <w:t>https://www.flmd.uscourts.gov/standing-orders-plans-procedures</w:t>
        </w:r>
      </w:hyperlink>
    </w:p>
    <w:p w:rsidR="00F36C65" w:rsidRPr="00F36C65" w:rsidRDefault="00F36C65">
      <w:pPr>
        <w:pStyle w:val="FootnoteText"/>
        <w:rPr>
          <w:rFonts w:ascii="Arial" w:hAnsi="Arial" w:cs="Arial"/>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ACE"/>
    <w:multiLevelType w:val="hybridMultilevel"/>
    <w:tmpl w:val="D6D8CE4C"/>
    <w:lvl w:ilvl="0" w:tplc="97D08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E168B"/>
    <w:multiLevelType w:val="hybridMultilevel"/>
    <w:tmpl w:val="08CE1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DC10C8"/>
    <w:multiLevelType w:val="hybridMultilevel"/>
    <w:tmpl w:val="3858E870"/>
    <w:lvl w:ilvl="0" w:tplc="AD18FD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F6F9E"/>
    <w:multiLevelType w:val="hybridMultilevel"/>
    <w:tmpl w:val="90B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E0086"/>
    <w:multiLevelType w:val="hybridMultilevel"/>
    <w:tmpl w:val="E036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4122B"/>
    <w:multiLevelType w:val="hybridMultilevel"/>
    <w:tmpl w:val="77FC9B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77B810B5"/>
    <w:multiLevelType w:val="hybridMultilevel"/>
    <w:tmpl w:val="676A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4C"/>
    <w:rsid w:val="00013D65"/>
    <w:rsid w:val="00025D6D"/>
    <w:rsid w:val="00032D4D"/>
    <w:rsid w:val="00056A64"/>
    <w:rsid w:val="0005741D"/>
    <w:rsid w:val="00057CF9"/>
    <w:rsid w:val="000604F5"/>
    <w:rsid w:val="000625C8"/>
    <w:rsid w:val="000650A3"/>
    <w:rsid w:val="00073E75"/>
    <w:rsid w:val="0008794B"/>
    <w:rsid w:val="000A0C39"/>
    <w:rsid w:val="000A7ABE"/>
    <w:rsid w:val="000A7F38"/>
    <w:rsid w:val="000C5EDC"/>
    <w:rsid w:val="000C72F4"/>
    <w:rsid w:val="000D412A"/>
    <w:rsid w:val="000E71A1"/>
    <w:rsid w:val="001023B3"/>
    <w:rsid w:val="001103B5"/>
    <w:rsid w:val="001339E5"/>
    <w:rsid w:val="00151617"/>
    <w:rsid w:val="00157487"/>
    <w:rsid w:val="00157F8C"/>
    <w:rsid w:val="00174B20"/>
    <w:rsid w:val="00176656"/>
    <w:rsid w:val="00184DDC"/>
    <w:rsid w:val="001A44E3"/>
    <w:rsid w:val="001D414E"/>
    <w:rsid w:val="001E24D0"/>
    <w:rsid w:val="001F796A"/>
    <w:rsid w:val="00200AF2"/>
    <w:rsid w:val="002057E3"/>
    <w:rsid w:val="00211297"/>
    <w:rsid w:val="00211425"/>
    <w:rsid w:val="002423D2"/>
    <w:rsid w:val="0027446D"/>
    <w:rsid w:val="00291046"/>
    <w:rsid w:val="00291833"/>
    <w:rsid w:val="002A2C5F"/>
    <w:rsid w:val="002B23FF"/>
    <w:rsid w:val="002D52D3"/>
    <w:rsid w:val="002D760B"/>
    <w:rsid w:val="002E5D5C"/>
    <w:rsid w:val="00302C12"/>
    <w:rsid w:val="00313311"/>
    <w:rsid w:val="00317F19"/>
    <w:rsid w:val="00320E21"/>
    <w:rsid w:val="00341106"/>
    <w:rsid w:val="003472A7"/>
    <w:rsid w:val="003551DB"/>
    <w:rsid w:val="00376F30"/>
    <w:rsid w:val="003A1678"/>
    <w:rsid w:val="003A1A18"/>
    <w:rsid w:val="003A731B"/>
    <w:rsid w:val="003A7A33"/>
    <w:rsid w:val="003B2A94"/>
    <w:rsid w:val="003C549E"/>
    <w:rsid w:val="003E34FF"/>
    <w:rsid w:val="003E3634"/>
    <w:rsid w:val="003F1D3F"/>
    <w:rsid w:val="003F6B51"/>
    <w:rsid w:val="004000A3"/>
    <w:rsid w:val="00420668"/>
    <w:rsid w:val="00424936"/>
    <w:rsid w:val="00435CD1"/>
    <w:rsid w:val="0044216B"/>
    <w:rsid w:val="004451E8"/>
    <w:rsid w:val="004570F2"/>
    <w:rsid w:val="00457860"/>
    <w:rsid w:val="00460AE5"/>
    <w:rsid w:val="00467D50"/>
    <w:rsid w:val="0047041D"/>
    <w:rsid w:val="00473947"/>
    <w:rsid w:val="0048164D"/>
    <w:rsid w:val="00497923"/>
    <w:rsid w:val="004A2DC3"/>
    <w:rsid w:val="004C6A0A"/>
    <w:rsid w:val="004C6D98"/>
    <w:rsid w:val="004E2F68"/>
    <w:rsid w:val="004E62B3"/>
    <w:rsid w:val="00502C15"/>
    <w:rsid w:val="005227FE"/>
    <w:rsid w:val="00525ADC"/>
    <w:rsid w:val="005335EB"/>
    <w:rsid w:val="00546F4A"/>
    <w:rsid w:val="005514C0"/>
    <w:rsid w:val="00553510"/>
    <w:rsid w:val="0056128A"/>
    <w:rsid w:val="00565DEE"/>
    <w:rsid w:val="005842DB"/>
    <w:rsid w:val="0058614E"/>
    <w:rsid w:val="005953EE"/>
    <w:rsid w:val="00596F6C"/>
    <w:rsid w:val="005E482D"/>
    <w:rsid w:val="005E6744"/>
    <w:rsid w:val="005F038F"/>
    <w:rsid w:val="005F2ECE"/>
    <w:rsid w:val="00607E93"/>
    <w:rsid w:val="00610820"/>
    <w:rsid w:val="006223EF"/>
    <w:rsid w:val="00634E95"/>
    <w:rsid w:val="00636336"/>
    <w:rsid w:val="006451D3"/>
    <w:rsid w:val="00654EE2"/>
    <w:rsid w:val="006A73BF"/>
    <w:rsid w:val="006B0506"/>
    <w:rsid w:val="006B4BC8"/>
    <w:rsid w:val="006B6EF2"/>
    <w:rsid w:val="006C3D47"/>
    <w:rsid w:val="006D4CF8"/>
    <w:rsid w:val="006D55B9"/>
    <w:rsid w:val="006E573C"/>
    <w:rsid w:val="007030B0"/>
    <w:rsid w:val="007124F3"/>
    <w:rsid w:val="00712BD7"/>
    <w:rsid w:val="0071734C"/>
    <w:rsid w:val="00734DC7"/>
    <w:rsid w:val="0074557D"/>
    <w:rsid w:val="0076355E"/>
    <w:rsid w:val="00770609"/>
    <w:rsid w:val="00776A6B"/>
    <w:rsid w:val="00786B9B"/>
    <w:rsid w:val="00787485"/>
    <w:rsid w:val="00787508"/>
    <w:rsid w:val="00793957"/>
    <w:rsid w:val="00795B22"/>
    <w:rsid w:val="007A1520"/>
    <w:rsid w:val="007A2EBC"/>
    <w:rsid w:val="007A2FD5"/>
    <w:rsid w:val="007A5706"/>
    <w:rsid w:val="007B61DB"/>
    <w:rsid w:val="007D6D1F"/>
    <w:rsid w:val="007E0C9F"/>
    <w:rsid w:val="007E0F39"/>
    <w:rsid w:val="008014BF"/>
    <w:rsid w:val="00810421"/>
    <w:rsid w:val="00815B7E"/>
    <w:rsid w:val="008235B0"/>
    <w:rsid w:val="008235D4"/>
    <w:rsid w:val="008264D8"/>
    <w:rsid w:val="00830168"/>
    <w:rsid w:val="00836DA5"/>
    <w:rsid w:val="00837BC3"/>
    <w:rsid w:val="00837ECD"/>
    <w:rsid w:val="00867771"/>
    <w:rsid w:val="00870D36"/>
    <w:rsid w:val="00884C69"/>
    <w:rsid w:val="00893B54"/>
    <w:rsid w:val="00893DEE"/>
    <w:rsid w:val="00895257"/>
    <w:rsid w:val="00895306"/>
    <w:rsid w:val="008A29B7"/>
    <w:rsid w:val="008A4F5C"/>
    <w:rsid w:val="008B25AC"/>
    <w:rsid w:val="008B2CFE"/>
    <w:rsid w:val="008B505E"/>
    <w:rsid w:val="008B69FC"/>
    <w:rsid w:val="008D194C"/>
    <w:rsid w:val="008E01BF"/>
    <w:rsid w:val="008E5803"/>
    <w:rsid w:val="008F4759"/>
    <w:rsid w:val="008F4D94"/>
    <w:rsid w:val="009029A4"/>
    <w:rsid w:val="009200C7"/>
    <w:rsid w:val="009222AB"/>
    <w:rsid w:val="0093094A"/>
    <w:rsid w:val="009317E2"/>
    <w:rsid w:val="00931E69"/>
    <w:rsid w:val="00954427"/>
    <w:rsid w:val="009611A3"/>
    <w:rsid w:val="00962874"/>
    <w:rsid w:val="0097738F"/>
    <w:rsid w:val="009779BE"/>
    <w:rsid w:val="009876FE"/>
    <w:rsid w:val="009B0D07"/>
    <w:rsid w:val="009C25AF"/>
    <w:rsid w:val="009C3D6C"/>
    <w:rsid w:val="009C3E5B"/>
    <w:rsid w:val="009E7CAF"/>
    <w:rsid w:val="009F3426"/>
    <w:rsid w:val="009F6E29"/>
    <w:rsid w:val="00A0233B"/>
    <w:rsid w:val="00A11E2A"/>
    <w:rsid w:val="00A20DB3"/>
    <w:rsid w:val="00A26D9B"/>
    <w:rsid w:val="00A3677C"/>
    <w:rsid w:val="00A44FF4"/>
    <w:rsid w:val="00A568F8"/>
    <w:rsid w:val="00A6037C"/>
    <w:rsid w:val="00A641E3"/>
    <w:rsid w:val="00A76B5C"/>
    <w:rsid w:val="00A83A25"/>
    <w:rsid w:val="00A8609C"/>
    <w:rsid w:val="00A87EE6"/>
    <w:rsid w:val="00AA0BA9"/>
    <w:rsid w:val="00AA6FB7"/>
    <w:rsid w:val="00AC3D0B"/>
    <w:rsid w:val="00AC7E23"/>
    <w:rsid w:val="00AD7C5F"/>
    <w:rsid w:val="00AE0357"/>
    <w:rsid w:val="00AE263E"/>
    <w:rsid w:val="00AF7213"/>
    <w:rsid w:val="00B00365"/>
    <w:rsid w:val="00B026E9"/>
    <w:rsid w:val="00B03698"/>
    <w:rsid w:val="00B048A5"/>
    <w:rsid w:val="00B06932"/>
    <w:rsid w:val="00B279D2"/>
    <w:rsid w:val="00B40ED7"/>
    <w:rsid w:val="00B51374"/>
    <w:rsid w:val="00B535E0"/>
    <w:rsid w:val="00B5474A"/>
    <w:rsid w:val="00B65CE6"/>
    <w:rsid w:val="00B82C56"/>
    <w:rsid w:val="00B9304E"/>
    <w:rsid w:val="00B97A2C"/>
    <w:rsid w:val="00BA7D87"/>
    <w:rsid w:val="00BB161A"/>
    <w:rsid w:val="00BB3E2E"/>
    <w:rsid w:val="00BB5BFD"/>
    <w:rsid w:val="00BC30EC"/>
    <w:rsid w:val="00BD0700"/>
    <w:rsid w:val="00BD58C0"/>
    <w:rsid w:val="00BF073B"/>
    <w:rsid w:val="00BF176B"/>
    <w:rsid w:val="00C04C99"/>
    <w:rsid w:val="00C0722B"/>
    <w:rsid w:val="00C15209"/>
    <w:rsid w:val="00C21B71"/>
    <w:rsid w:val="00C2709B"/>
    <w:rsid w:val="00C27D8E"/>
    <w:rsid w:val="00C34D7B"/>
    <w:rsid w:val="00C41692"/>
    <w:rsid w:val="00C435DA"/>
    <w:rsid w:val="00C55C24"/>
    <w:rsid w:val="00C6214D"/>
    <w:rsid w:val="00C66364"/>
    <w:rsid w:val="00C67C1F"/>
    <w:rsid w:val="00C7421D"/>
    <w:rsid w:val="00C75DC9"/>
    <w:rsid w:val="00C85C42"/>
    <w:rsid w:val="00CA4CC9"/>
    <w:rsid w:val="00CB213C"/>
    <w:rsid w:val="00CC67B6"/>
    <w:rsid w:val="00CD1E6A"/>
    <w:rsid w:val="00CD36D3"/>
    <w:rsid w:val="00CE502C"/>
    <w:rsid w:val="00CF1EB5"/>
    <w:rsid w:val="00CF656B"/>
    <w:rsid w:val="00D02883"/>
    <w:rsid w:val="00D24F76"/>
    <w:rsid w:val="00D25271"/>
    <w:rsid w:val="00D25DCB"/>
    <w:rsid w:val="00D371F6"/>
    <w:rsid w:val="00D461FE"/>
    <w:rsid w:val="00D603AA"/>
    <w:rsid w:val="00D6157A"/>
    <w:rsid w:val="00D67DC6"/>
    <w:rsid w:val="00D7208B"/>
    <w:rsid w:val="00D91F4B"/>
    <w:rsid w:val="00D92D5F"/>
    <w:rsid w:val="00D94B12"/>
    <w:rsid w:val="00D967EF"/>
    <w:rsid w:val="00D96FCC"/>
    <w:rsid w:val="00DA13C6"/>
    <w:rsid w:val="00DA6AE7"/>
    <w:rsid w:val="00DB4123"/>
    <w:rsid w:val="00DB44A6"/>
    <w:rsid w:val="00DC49E6"/>
    <w:rsid w:val="00DC7B9E"/>
    <w:rsid w:val="00DD606B"/>
    <w:rsid w:val="00DE0802"/>
    <w:rsid w:val="00DE58FB"/>
    <w:rsid w:val="00E018BB"/>
    <w:rsid w:val="00E07875"/>
    <w:rsid w:val="00E07F63"/>
    <w:rsid w:val="00E24515"/>
    <w:rsid w:val="00E310C0"/>
    <w:rsid w:val="00E33E26"/>
    <w:rsid w:val="00E46E99"/>
    <w:rsid w:val="00E6305D"/>
    <w:rsid w:val="00E666E2"/>
    <w:rsid w:val="00E70EF8"/>
    <w:rsid w:val="00E733B2"/>
    <w:rsid w:val="00E75D96"/>
    <w:rsid w:val="00E864C8"/>
    <w:rsid w:val="00EA69C8"/>
    <w:rsid w:val="00EB720B"/>
    <w:rsid w:val="00EC5BD4"/>
    <w:rsid w:val="00ED4E09"/>
    <w:rsid w:val="00EE2626"/>
    <w:rsid w:val="00EF0F3C"/>
    <w:rsid w:val="00EF4E8E"/>
    <w:rsid w:val="00F01DD5"/>
    <w:rsid w:val="00F0244B"/>
    <w:rsid w:val="00F11A58"/>
    <w:rsid w:val="00F20989"/>
    <w:rsid w:val="00F20E5A"/>
    <w:rsid w:val="00F25A1B"/>
    <w:rsid w:val="00F345A2"/>
    <w:rsid w:val="00F36C65"/>
    <w:rsid w:val="00F562A5"/>
    <w:rsid w:val="00F60C92"/>
    <w:rsid w:val="00F61213"/>
    <w:rsid w:val="00F70B53"/>
    <w:rsid w:val="00F727E7"/>
    <w:rsid w:val="00F86BF0"/>
    <w:rsid w:val="00F90CD4"/>
    <w:rsid w:val="00F97A73"/>
    <w:rsid w:val="00FA13EE"/>
    <w:rsid w:val="00FA692D"/>
    <w:rsid w:val="00FA7756"/>
    <w:rsid w:val="00FB0EBE"/>
    <w:rsid w:val="00FB140A"/>
    <w:rsid w:val="00FB41B3"/>
    <w:rsid w:val="00FD319F"/>
    <w:rsid w:val="00FD4690"/>
    <w:rsid w:val="00FD4FF6"/>
    <w:rsid w:val="00FF65C5"/>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FootnoteText">
    <w:name w:val="footnote text"/>
    <w:basedOn w:val="Normal"/>
    <w:link w:val="FootnoteTextChar"/>
    <w:uiPriority w:val="99"/>
    <w:semiHidden/>
    <w:unhideWhenUsed/>
    <w:rsid w:val="00B279D2"/>
    <w:rPr>
      <w:sz w:val="20"/>
      <w:szCs w:val="20"/>
    </w:rPr>
  </w:style>
  <w:style w:type="character" w:customStyle="1" w:styleId="FootnoteTextChar">
    <w:name w:val="Footnote Text Char"/>
    <w:basedOn w:val="DefaultParagraphFont"/>
    <w:link w:val="FootnoteText"/>
    <w:uiPriority w:val="99"/>
    <w:semiHidden/>
    <w:rsid w:val="00B279D2"/>
    <w:rPr>
      <w:rFonts w:ascii="Times New Roman" w:hAnsi="Times New Roman" w:cs="Times New Roman"/>
      <w:sz w:val="20"/>
      <w:szCs w:val="20"/>
    </w:rPr>
  </w:style>
  <w:style w:type="paragraph" w:styleId="ListParagraph">
    <w:name w:val="List Paragraph"/>
    <w:basedOn w:val="Normal"/>
    <w:uiPriority w:val="34"/>
    <w:qFormat/>
    <w:rsid w:val="00317F19"/>
    <w:pPr>
      <w:ind w:left="720"/>
      <w:contextualSpacing/>
    </w:pPr>
  </w:style>
  <w:style w:type="paragraph" w:styleId="BalloonText">
    <w:name w:val="Balloon Text"/>
    <w:basedOn w:val="Normal"/>
    <w:link w:val="BalloonTextChar"/>
    <w:uiPriority w:val="99"/>
    <w:semiHidden/>
    <w:unhideWhenUsed/>
    <w:rsid w:val="006C3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47"/>
    <w:rPr>
      <w:rFonts w:ascii="Segoe UI" w:hAnsi="Segoe UI" w:cs="Segoe UI"/>
      <w:sz w:val="18"/>
      <w:szCs w:val="18"/>
    </w:rPr>
  </w:style>
  <w:style w:type="character" w:styleId="CommentReference">
    <w:name w:val="annotation reference"/>
    <w:basedOn w:val="DefaultParagraphFont"/>
    <w:uiPriority w:val="99"/>
    <w:semiHidden/>
    <w:unhideWhenUsed/>
    <w:rsid w:val="00C67C1F"/>
    <w:rPr>
      <w:sz w:val="16"/>
      <w:szCs w:val="16"/>
    </w:rPr>
  </w:style>
  <w:style w:type="paragraph" w:styleId="CommentText">
    <w:name w:val="annotation text"/>
    <w:basedOn w:val="Normal"/>
    <w:link w:val="CommentTextChar"/>
    <w:uiPriority w:val="99"/>
    <w:semiHidden/>
    <w:unhideWhenUsed/>
    <w:rsid w:val="00C67C1F"/>
    <w:rPr>
      <w:sz w:val="20"/>
      <w:szCs w:val="20"/>
    </w:rPr>
  </w:style>
  <w:style w:type="character" w:customStyle="1" w:styleId="CommentTextChar">
    <w:name w:val="Comment Text Char"/>
    <w:basedOn w:val="DefaultParagraphFont"/>
    <w:link w:val="CommentText"/>
    <w:uiPriority w:val="99"/>
    <w:semiHidden/>
    <w:rsid w:val="00C67C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7C1F"/>
    <w:rPr>
      <w:b/>
      <w:bCs/>
    </w:rPr>
  </w:style>
  <w:style w:type="character" w:customStyle="1" w:styleId="CommentSubjectChar">
    <w:name w:val="Comment Subject Char"/>
    <w:basedOn w:val="CommentTextChar"/>
    <w:link w:val="CommentSubject"/>
    <w:uiPriority w:val="99"/>
    <w:semiHidden/>
    <w:rsid w:val="00C67C1F"/>
    <w:rPr>
      <w:rFonts w:ascii="Times New Roman" w:hAnsi="Times New Roman" w:cs="Times New Roman"/>
      <w:b/>
      <w:bCs/>
      <w:sz w:val="20"/>
      <w:szCs w:val="20"/>
    </w:rPr>
  </w:style>
  <w:style w:type="character" w:styleId="Hyperlink">
    <w:name w:val="Hyperlink"/>
    <w:basedOn w:val="DefaultParagraphFont"/>
    <w:uiPriority w:val="99"/>
    <w:unhideWhenUsed/>
    <w:rsid w:val="008A4F5C"/>
    <w:rPr>
      <w:color w:val="0000FF" w:themeColor="hyperlink"/>
      <w:u w:val="single"/>
    </w:rPr>
  </w:style>
  <w:style w:type="character" w:styleId="UnresolvedMention">
    <w:name w:val="Unresolved Mention"/>
    <w:basedOn w:val="DefaultParagraphFont"/>
    <w:uiPriority w:val="99"/>
    <w:semiHidden/>
    <w:unhideWhenUsed/>
    <w:rsid w:val="008A4F5C"/>
    <w:rPr>
      <w:color w:val="605E5C"/>
      <w:shd w:val="clear" w:color="auto" w:fill="E1DFDD"/>
    </w:rPr>
  </w:style>
  <w:style w:type="character" w:styleId="FollowedHyperlink">
    <w:name w:val="FollowedHyperlink"/>
    <w:basedOn w:val="DefaultParagraphFont"/>
    <w:uiPriority w:val="99"/>
    <w:semiHidden/>
    <w:unhideWhenUsed/>
    <w:rsid w:val="008A4F5C"/>
    <w:rPr>
      <w:color w:val="800080" w:themeColor="followedHyperlink"/>
      <w:u w:val="single"/>
    </w:rPr>
  </w:style>
  <w:style w:type="table" w:styleId="TableGrid">
    <w:name w:val="Table Grid"/>
    <w:basedOn w:val="TableNormal"/>
    <w:uiPriority w:val="59"/>
    <w:rsid w:val="0044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760B"/>
    <w:rPr>
      <w:color w:val="808080"/>
    </w:rPr>
  </w:style>
  <w:style w:type="paragraph" w:styleId="Header">
    <w:name w:val="header"/>
    <w:basedOn w:val="Normal"/>
    <w:link w:val="HeaderChar"/>
    <w:uiPriority w:val="99"/>
    <w:unhideWhenUsed/>
    <w:rsid w:val="00184DDC"/>
    <w:pPr>
      <w:tabs>
        <w:tab w:val="center" w:pos="4680"/>
        <w:tab w:val="right" w:pos="9360"/>
      </w:tabs>
    </w:pPr>
  </w:style>
  <w:style w:type="character" w:customStyle="1" w:styleId="HeaderChar">
    <w:name w:val="Header Char"/>
    <w:basedOn w:val="DefaultParagraphFont"/>
    <w:link w:val="Header"/>
    <w:uiPriority w:val="99"/>
    <w:rsid w:val="00184DDC"/>
    <w:rPr>
      <w:rFonts w:ascii="Times New Roman" w:hAnsi="Times New Roman" w:cs="Times New Roman"/>
      <w:sz w:val="24"/>
      <w:szCs w:val="24"/>
    </w:rPr>
  </w:style>
  <w:style w:type="paragraph" w:styleId="Footer">
    <w:name w:val="footer"/>
    <w:basedOn w:val="Normal"/>
    <w:link w:val="FooterChar"/>
    <w:uiPriority w:val="99"/>
    <w:unhideWhenUsed/>
    <w:rsid w:val="00184DDC"/>
    <w:pPr>
      <w:tabs>
        <w:tab w:val="center" w:pos="4680"/>
        <w:tab w:val="right" w:pos="9360"/>
      </w:tabs>
    </w:pPr>
  </w:style>
  <w:style w:type="character" w:customStyle="1" w:styleId="FooterChar">
    <w:name w:val="Footer Char"/>
    <w:basedOn w:val="DefaultParagraphFont"/>
    <w:link w:val="Footer"/>
    <w:uiPriority w:val="99"/>
    <w:rsid w:val="00184DDC"/>
    <w:rPr>
      <w:rFonts w:ascii="Times New Roman" w:hAnsi="Times New Roman" w:cs="Times New Roman"/>
      <w:sz w:val="24"/>
      <w:szCs w:val="24"/>
    </w:rPr>
  </w:style>
  <w:style w:type="paragraph" w:styleId="Revision">
    <w:name w:val="Revision"/>
    <w:hidden/>
    <w:uiPriority w:val="99"/>
    <w:semiHidden/>
    <w:rsid w:val="00B97A2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6062">
      <w:bodyDiv w:val="1"/>
      <w:marLeft w:val="0"/>
      <w:marRight w:val="0"/>
      <w:marTop w:val="0"/>
      <w:marBottom w:val="0"/>
      <w:divBdr>
        <w:top w:val="none" w:sz="0" w:space="0" w:color="auto"/>
        <w:left w:val="none" w:sz="0" w:space="0" w:color="auto"/>
        <w:bottom w:val="none" w:sz="0" w:space="0" w:color="auto"/>
        <w:right w:val="none" w:sz="0" w:space="0" w:color="auto"/>
      </w:divBdr>
    </w:div>
    <w:div w:id="9888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lmd.uscourts.gov/standing-orders-plans-procedures" TargetMode="External"/><Relationship Id="rId2" Type="http://schemas.openxmlformats.org/officeDocument/2006/relationships/hyperlink" Target="https://www.flmd.uscourts.gov/civil-discovery-handbook" TargetMode="External"/><Relationship Id="rId1" Type="http://schemas.openxmlformats.org/officeDocument/2006/relationships/hyperlink" Target="https://www.flmd.uscourts.gov/cme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163D-2B1E-4E27-94F0-30AAC9EA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2020-03-20T18:05:00Z</dcterms:created>
  <dcterms:modified xsi:type="dcterms:W3CDTF">2020-03-20T18:05:00Z</dcterms:modified>
</cp:coreProperties>
</file>