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F653" w14:textId="77777777" w:rsidR="00482C05" w:rsidRPr="000E12D3" w:rsidRDefault="003E0A5A" w:rsidP="005D2238">
      <w:pPr>
        <w:jc w:val="center"/>
        <w:rPr>
          <w:b/>
          <w:bCs/>
          <w:caps/>
          <w:szCs w:val="26"/>
        </w:rPr>
      </w:pPr>
      <w:r w:rsidRPr="000E12D3">
        <w:rPr>
          <w:b/>
          <w:bCs/>
          <w:caps/>
          <w:szCs w:val="26"/>
        </w:rPr>
        <w:t>United States District Court</w:t>
      </w:r>
    </w:p>
    <w:p w14:paraId="7B749CE6" w14:textId="77777777" w:rsidR="003E0A5A" w:rsidRPr="000E12D3" w:rsidRDefault="003E0A5A" w:rsidP="005D2238">
      <w:pPr>
        <w:jc w:val="center"/>
        <w:rPr>
          <w:b/>
          <w:bCs/>
          <w:caps/>
          <w:szCs w:val="26"/>
        </w:rPr>
      </w:pPr>
      <w:r w:rsidRPr="000E12D3">
        <w:rPr>
          <w:b/>
          <w:bCs/>
          <w:caps/>
          <w:szCs w:val="26"/>
        </w:rPr>
        <w:t>Middle District of Florida</w:t>
      </w:r>
    </w:p>
    <w:p w14:paraId="43B42016" w14:textId="356D2B3E" w:rsidR="003E0A5A" w:rsidRPr="000E12D3" w:rsidRDefault="00D74442" w:rsidP="005D2238">
      <w:pPr>
        <w:tabs>
          <w:tab w:val="left" w:pos="540"/>
        </w:tabs>
        <w:jc w:val="center"/>
        <w:rPr>
          <w:b/>
          <w:bCs/>
          <w:szCs w:val="26"/>
        </w:rPr>
      </w:pPr>
      <w:r w:rsidRPr="000E12D3">
        <w:rPr>
          <w:b/>
          <w:bCs/>
          <w:szCs w:val="26"/>
        </w:rPr>
        <w:t>[] DIVISION</w:t>
      </w:r>
    </w:p>
    <w:p w14:paraId="1317178F" w14:textId="77777777" w:rsidR="00F53873" w:rsidRDefault="00F53873" w:rsidP="005D2238">
      <w:pPr>
        <w:tabs>
          <w:tab w:val="left" w:pos="540"/>
        </w:tabs>
        <w:rPr>
          <w:bCs/>
          <w:smallCaps/>
          <w:szCs w:val="26"/>
        </w:rPr>
      </w:pPr>
    </w:p>
    <w:p w14:paraId="58F4554B" w14:textId="1538C261" w:rsidR="003E0A5A" w:rsidRPr="000E12D3" w:rsidRDefault="00043457" w:rsidP="005D2238">
      <w:pPr>
        <w:tabs>
          <w:tab w:val="left" w:pos="540"/>
        </w:tabs>
        <w:rPr>
          <w:bCs/>
          <w:smallCaps/>
          <w:szCs w:val="26"/>
        </w:rPr>
      </w:pPr>
      <w:r>
        <w:rPr>
          <w:bCs/>
          <w:smallCaps/>
          <w:szCs w:val="26"/>
        </w:rPr>
        <w:t>UNITED STATES</w:t>
      </w:r>
    </w:p>
    <w:p w14:paraId="2BDDB526" w14:textId="23A66827" w:rsidR="00E03CCC" w:rsidRPr="000E12D3" w:rsidRDefault="00E03CCC" w:rsidP="005D2238">
      <w:pPr>
        <w:tabs>
          <w:tab w:val="left" w:pos="540"/>
        </w:tabs>
        <w:rPr>
          <w:bCs/>
          <w:szCs w:val="26"/>
        </w:rPr>
      </w:pPr>
      <w:r w:rsidRPr="000E12D3">
        <w:rPr>
          <w:bCs/>
          <w:smallCaps/>
          <w:szCs w:val="26"/>
        </w:rPr>
        <w:tab/>
      </w:r>
    </w:p>
    <w:p w14:paraId="59AE84D7" w14:textId="79DE9EB2" w:rsidR="003E0A5A" w:rsidRPr="000E12D3" w:rsidRDefault="003E0A5A" w:rsidP="005D2238">
      <w:pPr>
        <w:tabs>
          <w:tab w:val="left" w:pos="540"/>
        </w:tabs>
        <w:rPr>
          <w:bCs/>
          <w:smallCaps/>
          <w:szCs w:val="26"/>
          <w:u w:val="single"/>
        </w:rPr>
      </w:pPr>
      <w:r w:rsidRPr="000E12D3">
        <w:rPr>
          <w:bCs/>
          <w:szCs w:val="26"/>
        </w:rPr>
        <w:t>v.</w:t>
      </w:r>
      <w:r w:rsidRPr="000E12D3">
        <w:rPr>
          <w:bCs/>
          <w:smallCaps/>
          <w:szCs w:val="26"/>
        </w:rPr>
        <w:tab/>
      </w:r>
      <w:r w:rsidRPr="000E12D3">
        <w:rPr>
          <w:bCs/>
          <w:smallCaps/>
          <w:szCs w:val="26"/>
        </w:rPr>
        <w:tab/>
      </w:r>
      <w:r w:rsidRPr="000E12D3">
        <w:rPr>
          <w:bCs/>
          <w:smallCaps/>
          <w:szCs w:val="26"/>
        </w:rPr>
        <w:tab/>
      </w:r>
      <w:r w:rsidRPr="000E12D3">
        <w:rPr>
          <w:bCs/>
          <w:smallCaps/>
          <w:szCs w:val="26"/>
        </w:rPr>
        <w:tab/>
      </w:r>
      <w:r w:rsidRPr="000E12D3">
        <w:rPr>
          <w:bCs/>
          <w:smallCaps/>
          <w:szCs w:val="26"/>
        </w:rPr>
        <w:tab/>
      </w:r>
      <w:r w:rsidRPr="000E12D3">
        <w:rPr>
          <w:bCs/>
          <w:smallCaps/>
          <w:szCs w:val="26"/>
        </w:rPr>
        <w:tab/>
      </w:r>
      <w:r w:rsidRPr="000E12D3">
        <w:rPr>
          <w:bCs/>
          <w:smallCaps/>
          <w:szCs w:val="26"/>
        </w:rPr>
        <w:tab/>
      </w:r>
      <w:r w:rsidRPr="000E12D3">
        <w:rPr>
          <w:bCs/>
          <w:smallCaps/>
          <w:szCs w:val="26"/>
        </w:rPr>
        <w:tab/>
      </w:r>
      <w:r w:rsidR="007E503E" w:rsidRPr="000E12D3">
        <w:rPr>
          <w:bCs/>
          <w:smallCaps/>
          <w:szCs w:val="26"/>
        </w:rPr>
        <w:tab/>
      </w:r>
      <w:r w:rsidR="005854A8" w:rsidRPr="000E12D3">
        <w:rPr>
          <w:bCs/>
          <w:smallCaps/>
          <w:szCs w:val="26"/>
        </w:rPr>
        <w:t xml:space="preserve">        </w:t>
      </w:r>
      <w:r w:rsidR="007E503E" w:rsidRPr="000E12D3">
        <w:rPr>
          <w:bCs/>
          <w:szCs w:val="26"/>
        </w:rPr>
        <w:t xml:space="preserve">Case </w:t>
      </w:r>
      <w:r w:rsidRPr="000E12D3">
        <w:rPr>
          <w:bCs/>
          <w:szCs w:val="26"/>
        </w:rPr>
        <w:t>No</w:t>
      </w:r>
      <w:r w:rsidRPr="000E12D3">
        <w:rPr>
          <w:bCs/>
          <w:smallCaps/>
          <w:szCs w:val="26"/>
        </w:rPr>
        <w:t xml:space="preserve">. </w:t>
      </w:r>
      <w:r w:rsidR="00D74442" w:rsidRPr="000E12D3">
        <w:rPr>
          <w:bCs/>
          <w:smallCaps/>
          <w:szCs w:val="26"/>
        </w:rPr>
        <w:t>[]</w:t>
      </w:r>
    </w:p>
    <w:p w14:paraId="172B1023" w14:textId="77777777" w:rsidR="003E0A5A" w:rsidRPr="000E12D3" w:rsidRDefault="003E0A5A" w:rsidP="005D2238">
      <w:pPr>
        <w:tabs>
          <w:tab w:val="left" w:pos="540"/>
        </w:tabs>
        <w:rPr>
          <w:bCs/>
          <w:smallCaps/>
          <w:szCs w:val="26"/>
        </w:rPr>
      </w:pPr>
    </w:p>
    <w:p w14:paraId="6A16D4FF" w14:textId="4D8B9E7B" w:rsidR="00E03CCC" w:rsidRPr="000E12D3" w:rsidRDefault="00D74442" w:rsidP="005D2238">
      <w:pPr>
        <w:tabs>
          <w:tab w:val="left" w:pos="540"/>
        </w:tabs>
        <w:rPr>
          <w:bCs/>
          <w:smallCaps/>
          <w:szCs w:val="26"/>
        </w:rPr>
      </w:pPr>
      <w:r w:rsidRPr="000E12D3">
        <w:rPr>
          <w:bCs/>
          <w:smallCaps/>
          <w:szCs w:val="26"/>
        </w:rPr>
        <w:t>[]</w:t>
      </w:r>
    </w:p>
    <w:p w14:paraId="3CFD6B4F" w14:textId="3D85B55E" w:rsidR="00F53873" w:rsidRDefault="00E03CCC" w:rsidP="005D2238">
      <w:pPr>
        <w:tabs>
          <w:tab w:val="left" w:pos="540"/>
        </w:tabs>
        <w:rPr>
          <w:bCs/>
          <w:iCs/>
          <w:szCs w:val="26"/>
        </w:rPr>
      </w:pPr>
      <w:r w:rsidRPr="000E12D3">
        <w:rPr>
          <w:bCs/>
          <w:smallCaps/>
          <w:szCs w:val="26"/>
        </w:rPr>
        <w:tab/>
      </w:r>
      <w:r w:rsidRPr="000E12D3">
        <w:rPr>
          <w:bCs/>
          <w:iCs/>
          <w:smallCaps/>
          <w:szCs w:val="26"/>
        </w:rPr>
        <w:tab/>
      </w:r>
    </w:p>
    <w:p w14:paraId="359B51E3" w14:textId="0EF913AA" w:rsidR="003E0A5A" w:rsidRPr="000E12D3" w:rsidRDefault="00C40140" w:rsidP="005D2238">
      <w:pPr>
        <w:tabs>
          <w:tab w:val="left" w:pos="540"/>
        </w:tabs>
        <w:rPr>
          <w:b/>
          <w:smallCaps/>
          <w:szCs w:val="26"/>
        </w:rPr>
      </w:pPr>
      <w:r>
        <w:rPr>
          <w:b/>
          <w:smallCaps/>
          <w:noProof/>
          <w:szCs w:val="26"/>
        </w:rPr>
        <mc:AlternateContent>
          <mc:Choice Requires="wps">
            <w:drawing>
              <wp:anchor distT="0" distB="0" distL="114300" distR="114300" simplePos="0" relativeHeight="251659264" behindDoc="0" locked="0" layoutInCell="1" allowOverlap="1" wp14:anchorId="04740FAB" wp14:editId="2869A62D">
                <wp:simplePos x="0" y="0"/>
                <wp:positionH relativeFrom="column">
                  <wp:posOffset>0</wp:posOffset>
                </wp:positionH>
                <wp:positionV relativeFrom="paragraph">
                  <wp:posOffset>108839</wp:posOffset>
                </wp:positionV>
                <wp:extent cx="2743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0504E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55pt" to="3in,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fq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" strokecolor="black [3040]"/>
            </w:pict>
          </mc:Fallback>
        </mc:AlternateContent>
      </w:r>
      <w:r w:rsidR="00ED3330" w:rsidRPr="000E12D3">
        <w:rPr>
          <w:b/>
          <w:smallCaps/>
          <w:szCs w:val="26"/>
        </w:rPr>
        <w:br/>
      </w:r>
    </w:p>
    <w:p w14:paraId="4F468141" w14:textId="3EEF874F" w:rsidR="00A22928" w:rsidRPr="00801C28" w:rsidRDefault="00DB7777" w:rsidP="007B4152">
      <w:pPr>
        <w:tabs>
          <w:tab w:val="left" w:pos="540"/>
        </w:tabs>
        <w:jc w:val="center"/>
        <w:rPr>
          <w:b/>
          <w:smallCaps/>
          <w:szCs w:val="26"/>
          <w:u w:val="single"/>
        </w:rPr>
      </w:pPr>
      <w:r w:rsidRPr="00801C28">
        <w:rPr>
          <w:b/>
          <w:smallCaps/>
          <w:szCs w:val="26"/>
        </w:rPr>
        <w:t xml:space="preserve">[]’s </w:t>
      </w:r>
      <w:r w:rsidR="0079258E" w:rsidRPr="00801C28">
        <w:rPr>
          <w:b/>
          <w:smallCaps/>
          <w:szCs w:val="26"/>
        </w:rPr>
        <w:t>Disclosure Statement</w:t>
      </w:r>
      <w:r w:rsidR="00801C28" w:rsidRPr="00801C28">
        <w:rPr>
          <w:b/>
          <w:smallCaps/>
          <w:szCs w:val="26"/>
        </w:rPr>
        <w:t xml:space="preserve"> </w:t>
      </w:r>
      <w:r w:rsidR="003E6F09">
        <w:rPr>
          <w:b/>
          <w:smallCaps/>
          <w:szCs w:val="26"/>
        </w:rPr>
        <w:t>(Criminal)</w:t>
      </w:r>
    </w:p>
    <w:p w14:paraId="260B636C" w14:textId="71C43CB6" w:rsidR="00F53873" w:rsidRPr="00F53873" w:rsidRDefault="004F5587" w:rsidP="00F53873">
      <w:pPr>
        <w:pStyle w:val="Heading1"/>
        <w:numPr>
          <w:ilvl w:val="0"/>
          <w:numId w:val="0"/>
        </w:numPr>
        <w:ind w:left="720"/>
        <w:rPr>
          <w:rFonts w:cs="Arial"/>
          <w:szCs w:val="26"/>
        </w:rPr>
      </w:pPr>
      <w:r w:rsidRPr="00A22928">
        <w:rPr>
          <w:noProof/>
          <w:szCs w:val="26"/>
        </w:rPr>
        <mc:AlternateContent>
          <mc:Choice Requires="wps">
            <w:drawing>
              <wp:anchor distT="45720" distB="45720" distL="114300" distR="114300" simplePos="0" relativeHeight="251661312" behindDoc="0" locked="0" layoutInCell="1" allowOverlap="1" wp14:anchorId="39E4B118" wp14:editId="0FEF8D2D">
                <wp:simplePos x="0" y="0"/>
                <wp:positionH relativeFrom="margin">
                  <wp:posOffset>247650</wp:posOffset>
                </wp:positionH>
                <wp:positionV relativeFrom="paragraph">
                  <wp:posOffset>320040</wp:posOffset>
                </wp:positionV>
                <wp:extent cx="5511800" cy="96202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962025"/>
                        </a:xfrm>
                        <a:prstGeom prst="rect">
                          <a:avLst/>
                        </a:prstGeom>
                        <a:solidFill>
                          <a:schemeClr val="bg1">
                            <a:lumMod val="85000"/>
                          </a:schemeClr>
                        </a:solidFill>
                        <a:ln w="9525">
                          <a:solidFill>
                            <a:srgbClr val="000000"/>
                          </a:solidFill>
                          <a:miter lim="800000"/>
                          <a:headEnd/>
                          <a:tailEnd/>
                        </a:ln>
                      </wps:spPr>
                      <wps:txbx>
                        <w:txbxContent>
                          <w:p w14:paraId="406824F7" w14:textId="115B0C43" w:rsidR="00A22928" w:rsidRPr="005D2238" w:rsidRDefault="003B606B">
                            <w:pPr>
                              <w:rPr>
                                <w:sz w:val="22"/>
                                <w:szCs w:val="22"/>
                              </w:rPr>
                            </w:pPr>
                            <w:r w:rsidRPr="00614878">
                              <w:rPr>
                                <w:sz w:val="22"/>
                                <w:szCs w:val="22"/>
                              </w:rPr>
                              <w:t>Th</w:t>
                            </w:r>
                            <w:r>
                              <w:rPr>
                                <w:sz w:val="22"/>
                                <w:szCs w:val="22"/>
                              </w:rPr>
                              <w:t>e disclosures in this</w:t>
                            </w:r>
                            <w:r w:rsidRPr="00614878">
                              <w:rPr>
                                <w:sz w:val="22"/>
                                <w:szCs w:val="22"/>
                              </w:rPr>
                              <w:t xml:space="preserve"> </w:t>
                            </w:r>
                            <w:r>
                              <w:rPr>
                                <w:sz w:val="22"/>
                                <w:szCs w:val="22"/>
                              </w:rPr>
                              <w:t>statement</w:t>
                            </w:r>
                            <w:r w:rsidRPr="00614878">
                              <w:rPr>
                                <w:sz w:val="22"/>
                                <w:szCs w:val="22"/>
                              </w:rPr>
                              <w:t xml:space="preserve"> will contribute to </w:t>
                            </w:r>
                            <w:r w:rsidR="00205A1C">
                              <w:rPr>
                                <w:sz w:val="22"/>
                                <w:szCs w:val="22"/>
                              </w:rPr>
                              <w:t>evaluating judicial</w:t>
                            </w:r>
                            <w:r w:rsidRPr="00614878">
                              <w:rPr>
                                <w:sz w:val="22"/>
                                <w:szCs w:val="22"/>
                              </w:rPr>
                              <w:t xml:space="preserve"> recusal. A summary of the law of recusal </w:t>
                            </w:r>
                            <w:r w:rsidR="00205A1C">
                              <w:rPr>
                                <w:sz w:val="22"/>
                                <w:szCs w:val="22"/>
                              </w:rPr>
                              <w:t>accompanies</w:t>
                            </w:r>
                            <w:r w:rsidRPr="00614878">
                              <w:rPr>
                                <w:sz w:val="22"/>
                                <w:szCs w:val="22"/>
                              </w:rPr>
                              <w:t xml:space="preserve"> this statement. Each party must revise and supplement the </w:t>
                            </w:r>
                            <w:r>
                              <w:rPr>
                                <w:sz w:val="22"/>
                                <w:szCs w:val="22"/>
                              </w:rPr>
                              <w:t>disclosures</w:t>
                            </w:r>
                            <w:r w:rsidRPr="00614878">
                              <w:rPr>
                                <w:sz w:val="22"/>
                                <w:szCs w:val="22"/>
                              </w:rPr>
                              <w:t xml:space="preserve"> throughout the pendency of the </w:t>
                            </w:r>
                            <w:r>
                              <w:rPr>
                                <w:sz w:val="22"/>
                                <w:szCs w:val="22"/>
                              </w:rPr>
                              <w:t>proceeding</w:t>
                            </w:r>
                            <w:r w:rsidRPr="00614878">
                              <w:rPr>
                                <w:sz w:val="22"/>
                                <w:szCs w:val="22"/>
                              </w:rPr>
                              <w:t xml:space="preserve"> to ensure continuing completeness and accuracy.</w:t>
                            </w:r>
                            <w:r w:rsidR="002B5860">
                              <w:rPr>
                                <w:sz w:val="22"/>
                                <w:szCs w:val="22"/>
                              </w:rPr>
                              <w:t xml:space="preserve"> </w:t>
                            </w:r>
                            <w:r w:rsidR="002B5860" w:rsidRPr="00205A1C">
                              <w:rPr>
                                <w:sz w:val="22"/>
                                <w:szCs w:val="22"/>
                              </w:rPr>
                              <w:t xml:space="preserve">The privacy protection </w:t>
                            </w:r>
                            <w:r w:rsidR="00205A1C" w:rsidRPr="00205A1C">
                              <w:rPr>
                                <w:sz w:val="22"/>
                                <w:szCs w:val="22"/>
                              </w:rPr>
                              <w:t>of</w:t>
                            </w:r>
                            <w:r w:rsidR="002B5860" w:rsidRPr="00205A1C">
                              <w:rPr>
                                <w:sz w:val="22"/>
                                <w:szCs w:val="22"/>
                              </w:rPr>
                              <w:t xml:space="preserve"> Rule 49.1, Federal Rules of Criminal Procedure, appl</w:t>
                            </w:r>
                            <w:r w:rsidR="00205A1C" w:rsidRPr="00205A1C">
                              <w:rPr>
                                <w:sz w:val="22"/>
                                <w:szCs w:val="22"/>
                              </w:rPr>
                              <w:t>ies</w:t>
                            </w:r>
                            <w:r w:rsidR="002B5860" w:rsidRPr="00205A1C">
                              <w:rPr>
                                <w:sz w:val="22"/>
                                <w:szCs w:val="22"/>
                              </w:rPr>
                              <w:t xml:space="preserve"> to the disclosures.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4B118" id="_x0000_t202" coordsize="21600,21600" o:spt="202" path="m,l,21600r21600,l21600,xe">
                <v:stroke joinstyle="miter"/>
                <v:path gradientshapeok="t" o:connecttype="rect"/>
              </v:shapetype>
              <v:shape id="Text Box 2" o:spid="_x0000_s1026" type="#_x0000_t202" style="position:absolute;left:0;text-align:left;margin-left:19.5pt;margin-top:25.2pt;width:434pt;height:7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" fillcolor="#d8d8d8 [2732]">
                <v:textbox>
                  <w:txbxContent>
                    <w:p w14:paraId="406824F7" w14:textId="115B0C43" w:rsidR="00A22928" w:rsidRPr="005D2238" w:rsidRDefault="003B606B">
                      <w:pPr>
                        <w:rPr>
                          <w:sz w:val="22"/>
                          <w:szCs w:val="22"/>
                        </w:rPr>
                      </w:pPr>
                      <w:r w:rsidRPr="00614878">
                        <w:rPr>
                          <w:sz w:val="22"/>
                          <w:szCs w:val="22"/>
                        </w:rPr>
                        <w:t>Th</w:t>
                      </w:r>
                      <w:r>
                        <w:rPr>
                          <w:sz w:val="22"/>
                          <w:szCs w:val="22"/>
                        </w:rPr>
                        <w:t>e disclosures in this</w:t>
                      </w:r>
                      <w:r w:rsidRPr="00614878">
                        <w:rPr>
                          <w:sz w:val="22"/>
                          <w:szCs w:val="22"/>
                        </w:rPr>
                        <w:t xml:space="preserve"> </w:t>
                      </w:r>
                      <w:r>
                        <w:rPr>
                          <w:sz w:val="22"/>
                          <w:szCs w:val="22"/>
                        </w:rPr>
                        <w:t>statement</w:t>
                      </w:r>
                      <w:r w:rsidRPr="00614878">
                        <w:rPr>
                          <w:sz w:val="22"/>
                          <w:szCs w:val="22"/>
                        </w:rPr>
                        <w:t xml:space="preserve"> will contribute to </w:t>
                      </w:r>
                      <w:r w:rsidR="00205A1C">
                        <w:rPr>
                          <w:sz w:val="22"/>
                          <w:szCs w:val="22"/>
                        </w:rPr>
                        <w:t>evaluating judicial</w:t>
                      </w:r>
                      <w:r w:rsidRPr="00614878">
                        <w:rPr>
                          <w:sz w:val="22"/>
                          <w:szCs w:val="22"/>
                        </w:rPr>
                        <w:t xml:space="preserve"> recusal. A summary of the law of recusal </w:t>
                      </w:r>
                      <w:r w:rsidR="00205A1C">
                        <w:rPr>
                          <w:sz w:val="22"/>
                          <w:szCs w:val="22"/>
                        </w:rPr>
                        <w:t>accompanies</w:t>
                      </w:r>
                      <w:r w:rsidRPr="00614878">
                        <w:rPr>
                          <w:sz w:val="22"/>
                          <w:szCs w:val="22"/>
                        </w:rPr>
                        <w:t xml:space="preserve"> this statement. Each party must revise and supplement the </w:t>
                      </w:r>
                      <w:r>
                        <w:rPr>
                          <w:sz w:val="22"/>
                          <w:szCs w:val="22"/>
                        </w:rPr>
                        <w:t>disclosures</w:t>
                      </w:r>
                      <w:r w:rsidRPr="00614878">
                        <w:rPr>
                          <w:sz w:val="22"/>
                          <w:szCs w:val="22"/>
                        </w:rPr>
                        <w:t xml:space="preserve"> throughout the pendency of the </w:t>
                      </w:r>
                      <w:r>
                        <w:rPr>
                          <w:sz w:val="22"/>
                          <w:szCs w:val="22"/>
                        </w:rPr>
                        <w:t>proceeding</w:t>
                      </w:r>
                      <w:r w:rsidRPr="00614878">
                        <w:rPr>
                          <w:sz w:val="22"/>
                          <w:szCs w:val="22"/>
                        </w:rPr>
                        <w:t xml:space="preserve"> to ensure continuing completeness and accuracy.</w:t>
                      </w:r>
                      <w:r w:rsidR="002B5860">
                        <w:rPr>
                          <w:sz w:val="22"/>
                          <w:szCs w:val="22"/>
                        </w:rPr>
                        <w:t xml:space="preserve"> </w:t>
                      </w:r>
                      <w:r w:rsidR="002B5860" w:rsidRPr="00205A1C">
                        <w:rPr>
                          <w:sz w:val="22"/>
                          <w:szCs w:val="22"/>
                        </w:rPr>
                        <w:t xml:space="preserve">The privacy protection </w:t>
                      </w:r>
                      <w:r w:rsidR="00205A1C" w:rsidRPr="00205A1C">
                        <w:rPr>
                          <w:sz w:val="22"/>
                          <w:szCs w:val="22"/>
                        </w:rPr>
                        <w:t>of</w:t>
                      </w:r>
                      <w:r w:rsidR="002B5860" w:rsidRPr="00205A1C">
                        <w:rPr>
                          <w:sz w:val="22"/>
                          <w:szCs w:val="22"/>
                        </w:rPr>
                        <w:t xml:space="preserve"> Rule 49.1, Federal Rules of Criminal Procedure, appl</w:t>
                      </w:r>
                      <w:r w:rsidR="00205A1C" w:rsidRPr="00205A1C">
                        <w:rPr>
                          <w:sz w:val="22"/>
                          <w:szCs w:val="22"/>
                        </w:rPr>
                        <w:t>ies</w:t>
                      </w:r>
                      <w:r w:rsidR="002B5860" w:rsidRPr="00205A1C">
                        <w:rPr>
                          <w:sz w:val="22"/>
                          <w:szCs w:val="22"/>
                        </w:rPr>
                        <w:t xml:space="preserve"> to the disclosures.</w:t>
                      </w:r>
                    </w:p>
                  </w:txbxContent>
                </v:textbox>
                <w10:wrap type="square" anchorx="margin"/>
              </v:shape>
            </w:pict>
          </mc:Fallback>
        </mc:AlternateContent>
      </w:r>
    </w:p>
    <w:p w14:paraId="5DA8F3BB" w14:textId="77777777" w:rsidR="007F7282" w:rsidRPr="007F7282" w:rsidRDefault="007F7282" w:rsidP="007F7282"/>
    <w:p w14:paraId="30D2033B" w14:textId="42F61616" w:rsidR="000B2383" w:rsidRPr="00A1701A" w:rsidRDefault="000B2383" w:rsidP="00A1701A">
      <w:pPr>
        <w:pStyle w:val="Heading1"/>
        <w:rPr>
          <w:rFonts w:cs="Arial"/>
          <w:szCs w:val="26"/>
        </w:rPr>
      </w:pPr>
      <w:r>
        <w:t>Identify any entity</w:t>
      </w:r>
      <w:r w:rsidR="00205A1C">
        <w:t xml:space="preserve"> or natural person</w:t>
      </w:r>
      <w:r w:rsidR="008067BC">
        <w:t xml:space="preserve">, other than a </w:t>
      </w:r>
      <w:r w:rsidR="00043457">
        <w:t xml:space="preserve">party or </w:t>
      </w:r>
      <w:r w:rsidR="008067BC">
        <w:t>witness,</w:t>
      </w:r>
      <w:r>
        <w:t xml:space="preserve"> </w:t>
      </w:r>
      <w:r w:rsidR="00A1701A">
        <w:t xml:space="preserve">having </w:t>
      </w:r>
      <w:r w:rsidR="00A1701A" w:rsidRPr="001D69BF">
        <w:t>an interest</w:t>
      </w:r>
      <w:r w:rsidR="00A1701A">
        <w:t xml:space="preserve"> that </w:t>
      </w:r>
      <w:r w:rsidR="00A1701A" w:rsidRPr="001D69BF">
        <w:t xml:space="preserve">the </w:t>
      </w:r>
      <w:r w:rsidR="00A1701A">
        <w:t xml:space="preserve">proceeding’s </w:t>
      </w:r>
      <w:r w:rsidR="00A1701A" w:rsidRPr="001D69BF">
        <w:t xml:space="preserve">outcome </w:t>
      </w:r>
      <w:r w:rsidR="00A1701A">
        <w:t>might substantially affect</w:t>
      </w:r>
      <w:r w:rsidR="00A1701A">
        <w:rPr>
          <w:rFonts w:cs="Arial"/>
          <w:szCs w:val="26"/>
        </w:rPr>
        <w:t xml:space="preserve">. </w:t>
      </w:r>
      <w:r w:rsidR="00A1701A" w:rsidRPr="00A1701A">
        <w:rPr>
          <w:rFonts w:cs="Arial"/>
          <w:szCs w:val="26"/>
        </w:rPr>
        <w:t xml:space="preserve">If an entity is a non-governmental corporation, include any parent corporation and any publicly held corporation holding 10% or more of the </w:t>
      </w:r>
      <w:r w:rsidR="00A1701A">
        <w:rPr>
          <w:rFonts w:cs="Arial"/>
          <w:szCs w:val="26"/>
        </w:rPr>
        <w:t>entity</w:t>
      </w:r>
      <w:r w:rsidR="00A1701A" w:rsidRPr="00A1701A">
        <w:rPr>
          <w:rFonts w:cs="Arial"/>
          <w:szCs w:val="26"/>
        </w:rPr>
        <w:t>’s shares. The filer may identify an entity or natural person by initials or generically on the statement filed on the public docket and file an unredacted statement under seal. The defendant need not identify a</w:t>
      </w:r>
      <w:r w:rsidR="00DC1578">
        <w:rPr>
          <w:rFonts w:cs="Arial"/>
          <w:szCs w:val="26"/>
        </w:rPr>
        <w:t>n alleged</w:t>
      </w:r>
      <w:r w:rsidR="00A1701A" w:rsidRPr="00A1701A">
        <w:rPr>
          <w:rFonts w:cs="Arial"/>
          <w:szCs w:val="26"/>
        </w:rPr>
        <w:t xml:space="preserve"> victim.</w:t>
      </w:r>
    </w:p>
    <w:p w14:paraId="2EE6C5F7" w14:textId="77777777" w:rsidR="003B606B" w:rsidRDefault="003B606B" w:rsidP="003B606B"/>
    <w:p w14:paraId="0BD5E095" w14:textId="10DAD029" w:rsidR="003B606B" w:rsidRDefault="003B606B" w:rsidP="00A1701A">
      <w:pPr>
        <w:ind w:left="720"/>
      </w:pPr>
      <w:r>
        <w:t>[]</w:t>
      </w:r>
    </w:p>
    <w:p w14:paraId="03D2C38E" w14:textId="77777777" w:rsidR="000B2383" w:rsidRDefault="000B2383" w:rsidP="000B2383"/>
    <w:p w14:paraId="1FB166C7" w14:textId="1C4291D1" w:rsidR="003B606B" w:rsidRPr="00761104" w:rsidRDefault="00761104" w:rsidP="00761104">
      <w:pPr>
        <w:pStyle w:val="Heading1"/>
        <w:rPr>
          <w:rFonts w:cs="Arial"/>
          <w:szCs w:val="26"/>
        </w:rPr>
      </w:pPr>
      <w:r w:rsidRPr="00761104">
        <w:rPr>
          <w:rFonts w:cs="Arial"/>
          <w:szCs w:val="26"/>
        </w:rPr>
        <w:t xml:space="preserve">Identify any lawyer, other than counsel of record, who serves or has served in the </w:t>
      </w:r>
      <w:r>
        <w:rPr>
          <w:rFonts w:cs="Arial"/>
          <w:szCs w:val="26"/>
        </w:rPr>
        <w:t>proceeding</w:t>
      </w:r>
      <w:r w:rsidRPr="00761104">
        <w:rPr>
          <w:rFonts w:cs="Arial"/>
          <w:szCs w:val="26"/>
        </w:rPr>
        <w:t xml:space="preserve"> as a lawyer for the filer, who is financially interested in the </w:t>
      </w:r>
      <w:r>
        <w:rPr>
          <w:rFonts w:cs="Arial"/>
          <w:szCs w:val="26"/>
        </w:rPr>
        <w:t>proceeding</w:t>
      </w:r>
      <w:r w:rsidRPr="00761104">
        <w:rPr>
          <w:rFonts w:cs="Arial"/>
          <w:szCs w:val="26"/>
        </w:rPr>
        <w:t xml:space="preserve">, or who might appear as a material witness in the </w:t>
      </w:r>
      <w:r>
        <w:rPr>
          <w:rFonts w:cs="Arial"/>
          <w:szCs w:val="26"/>
        </w:rPr>
        <w:t>proceeding</w:t>
      </w:r>
      <w:r w:rsidRPr="00761104">
        <w:rPr>
          <w:rFonts w:cs="Arial"/>
          <w:szCs w:val="26"/>
        </w:rPr>
        <w:t>.</w:t>
      </w:r>
    </w:p>
    <w:p w14:paraId="73C0A872" w14:textId="77777777" w:rsidR="003B606B" w:rsidRDefault="003B606B" w:rsidP="003B606B"/>
    <w:p w14:paraId="410B1A8B" w14:textId="77777777" w:rsidR="003B606B" w:rsidRPr="00857DAF" w:rsidRDefault="003B606B" w:rsidP="003B606B">
      <w:pPr>
        <w:ind w:left="720"/>
      </w:pPr>
      <w:r>
        <w:t>[]</w:t>
      </w:r>
    </w:p>
    <w:p w14:paraId="2982E51F" w14:textId="77777777" w:rsidR="000B2383" w:rsidRDefault="000B2383" w:rsidP="000B2383"/>
    <w:p w14:paraId="395EE029" w14:textId="77777777" w:rsidR="00282ED8" w:rsidRDefault="00282ED8">
      <w:pPr>
        <w:spacing w:after="200" w:line="276" w:lineRule="auto"/>
        <w:rPr>
          <w:rFonts w:eastAsiaTheme="majorEastAsia" w:cstheme="majorBidi"/>
          <w:szCs w:val="32"/>
        </w:rPr>
      </w:pPr>
      <w:r>
        <w:br w:type="page"/>
      </w:r>
    </w:p>
    <w:p w14:paraId="0881F855" w14:textId="17BC8488" w:rsidR="000B2383" w:rsidRDefault="000B2383" w:rsidP="000B2383">
      <w:pPr>
        <w:pStyle w:val="Heading1"/>
      </w:pPr>
      <w:r>
        <w:lastRenderedPageBreak/>
        <w:t>Identify any</w:t>
      </w:r>
      <w:r w:rsidRPr="008D769A">
        <w:t xml:space="preserve"> conflict of interest affecting the district judge or the magistrate judge in th</w:t>
      </w:r>
      <w:r w:rsidR="00D47261">
        <w:t>e</w:t>
      </w:r>
      <w:r w:rsidRPr="008D769A">
        <w:t xml:space="preserve"> </w:t>
      </w:r>
      <w:r w:rsidR="00282ED8">
        <w:t>proceeding</w:t>
      </w:r>
      <w:r>
        <w:t>.</w:t>
      </w:r>
    </w:p>
    <w:p w14:paraId="7D208624" w14:textId="77777777" w:rsidR="000B2383" w:rsidRDefault="000B2383" w:rsidP="000B2383">
      <w:pPr>
        <w:jc w:val="both"/>
        <w:rPr>
          <w:rFonts w:cs="Times New Roman"/>
          <w:szCs w:val="26"/>
        </w:rPr>
      </w:pPr>
    </w:p>
    <w:p w14:paraId="63C7108B" w14:textId="77777777" w:rsidR="000B2383" w:rsidRPr="005E4DC5" w:rsidRDefault="000B2383" w:rsidP="000B2383">
      <w:pPr>
        <w:pStyle w:val="ListParagraph"/>
        <w:contextualSpacing w:val="0"/>
        <w:jc w:val="both"/>
        <w:rPr>
          <w:rFonts w:cs="Arial"/>
          <w:szCs w:val="26"/>
        </w:rPr>
      </w:pPr>
      <w:r>
        <w:rPr>
          <w:rFonts w:cs="Arial"/>
          <w:szCs w:val="26"/>
        </w:rPr>
        <w:t>[]</w:t>
      </w:r>
    </w:p>
    <w:p w14:paraId="763E002C" w14:textId="70762E1F" w:rsidR="006F3168" w:rsidRPr="006F3168" w:rsidRDefault="006F3168" w:rsidP="006F3168">
      <w:pPr>
        <w:jc w:val="both"/>
        <w:rPr>
          <w:rFonts w:cs="Arial"/>
          <w:szCs w:val="26"/>
        </w:rPr>
      </w:pPr>
    </w:p>
    <w:p w14:paraId="0380DC17" w14:textId="09CC4B8E" w:rsidR="00C7034D" w:rsidRPr="00C7034D" w:rsidRDefault="00C7034D" w:rsidP="00572F82">
      <w:pPr>
        <w:pStyle w:val="Heading1"/>
        <w:numPr>
          <w:ilvl w:val="0"/>
          <w:numId w:val="0"/>
        </w:numPr>
        <w:jc w:val="center"/>
        <w:rPr>
          <w:b/>
          <w:bCs/>
          <w:u w:val="single"/>
        </w:rPr>
      </w:pPr>
      <w:r>
        <w:rPr>
          <w:b/>
          <w:bCs/>
          <w:u w:val="single"/>
        </w:rPr>
        <w:t>Certificat</w:t>
      </w:r>
      <w:r w:rsidR="003B606B">
        <w:rPr>
          <w:b/>
          <w:bCs/>
          <w:u w:val="single"/>
        </w:rPr>
        <w:t>e</w:t>
      </w:r>
    </w:p>
    <w:p w14:paraId="5E699480" w14:textId="77777777" w:rsidR="00F53873" w:rsidRDefault="00F53873" w:rsidP="00572F82">
      <w:pPr>
        <w:pStyle w:val="Heading1"/>
        <w:numPr>
          <w:ilvl w:val="0"/>
          <w:numId w:val="0"/>
        </w:numPr>
      </w:pPr>
    </w:p>
    <w:p w14:paraId="7805A7F5" w14:textId="5529CD5B" w:rsidR="006A680A" w:rsidRPr="000B2383" w:rsidRDefault="000B2383" w:rsidP="000B2383">
      <w:pPr>
        <w:pStyle w:val="ListParagraph"/>
        <w:contextualSpacing w:val="0"/>
        <w:jc w:val="both"/>
        <w:rPr>
          <w:rFonts w:cs="Arial"/>
          <w:b/>
          <w:bCs/>
          <w:szCs w:val="26"/>
        </w:rPr>
      </w:pPr>
      <w:r>
        <w:rPr>
          <w:rFonts w:cs="Arial"/>
          <w:b/>
          <w:bCs/>
          <w:szCs w:val="26"/>
        </w:rPr>
        <w:t>T</w:t>
      </w:r>
      <w:r w:rsidRPr="005D2238">
        <w:rPr>
          <w:rFonts w:cs="Arial"/>
          <w:b/>
          <w:bCs/>
          <w:szCs w:val="26"/>
        </w:rPr>
        <w:t>he filer</w:t>
      </w:r>
      <w:r>
        <w:rPr>
          <w:rFonts w:cs="Arial"/>
          <w:b/>
          <w:bCs/>
          <w:szCs w:val="26"/>
        </w:rPr>
        <w:t xml:space="preserve"> certifies that the disclosures in this statement are complete and accurate to the best of the filer’s knowledge, information, and belief. The filer </w:t>
      </w:r>
      <w:r w:rsidRPr="005D2238">
        <w:rPr>
          <w:rFonts w:cs="Arial"/>
          <w:b/>
          <w:bCs/>
          <w:szCs w:val="26"/>
        </w:rPr>
        <w:t xml:space="preserve">agrees </w:t>
      </w:r>
      <w:r>
        <w:rPr>
          <w:rFonts w:cs="Arial"/>
          <w:b/>
          <w:bCs/>
          <w:szCs w:val="26"/>
        </w:rPr>
        <w:t>to</w:t>
      </w:r>
      <w:r w:rsidRPr="005E4DC5">
        <w:rPr>
          <w:rFonts w:cs="Arial"/>
          <w:b/>
          <w:bCs/>
          <w:szCs w:val="26"/>
        </w:rPr>
        <w:t xml:space="preserve"> revise and supplement the </w:t>
      </w:r>
      <w:r>
        <w:rPr>
          <w:rFonts w:cs="Arial"/>
          <w:b/>
          <w:bCs/>
          <w:szCs w:val="26"/>
        </w:rPr>
        <w:t>disclosures</w:t>
      </w:r>
      <w:r w:rsidRPr="005E4DC5">
        <w:rPr>
          <w:rFonts w:cs="Arial"/>
          <w:b/>
          <w:bCs/>
          <w:szCs w:val="26"/>
        </w:rPr>
        <w:t xml:space="preserve"> throughout the pendency of the </w:t>
      </w:r>
      <w:r w:rsidR="00282ED8">
        <w:rPr>
          <w:rFonts w:cs="Arial"/>
          <w:b/>
          <w:bCs/>
          <w:szCs w:val="26"/>
        </w:rPr>
        <w:t>proceeding</w:t>
      </w:r>
      <w:r w:rsidRPr="005E4DC5">
        <w:rPr>
          <w:rFonts w:cs="Arial"/>
          <w:b/>
          <w:bCs/>
          <w:szCs w:val="26"/>
        </w:rPr>
        <w:t xml:space="preserve"> to ensure continuing completeness and accuracy.</w:t>
      </w:r>
    </w:p>
    <w:p w14:paraId="48FBC956" w14:textId="77777777" w:rsidR="005A7C03" w:rsidRDefault="005A7C03" w:rsidP="00A5586A">
      <w:pPr>
        <w:tabs>
          <w:tab w:val="left" w:pos="720"/>
        </w:tabs>
        <w:ind w:left="5760"/>
        <w:jc w:val="both"/>
        <w:rPr>
          <w:rFonts w:cs="Times New Roman"/>
          <w:szCs w:val="26"/>
        </w:rPr>
      </w:pPr>
    </w:p>
    <w:p w14:paraId="2A1E789A" w14:textId="4B1A3F50" w:rsidR="000E12D3" w:rsidRPr="000E12D3" w:rsidRDefault="000E12D3" w:rsidP="00A5586A">
      <w:pPr>
        <w:tabs>
          <w:tab w:val="left" w:pos="720"/>
        </w:tabs>
        <w:ind w:left="5760"/>
        <w:jc w:val="both"/>
        <w:rPr>
          <w:rFonts w:cs="Times New Roman"/>
          <w:szCs w:val="26"/>
        </w:rPr>
      </w:pPr>
      <w:r w:rsidRPr="000E12D3">
        <w:rPr>
          <w:rFonts w:cs="Times New Roman"/>
          <w:szCs w:val="26"/>
        </w:rPr>
        <w:t>Signed:</w:t>
      </w:r>
    </w:p>
    <w:p w14:paraId="223E207C" w14:textId="77777777" w:rsidR="00B776C4" w:rsidRDefault="00B776C4" w:rsidP="00A5586A">
      <w:pPr>
        <w:tabs>
          <w:tab w:val="left" w:pos="720"/>
        </w:tabs>
        <w:ind w:left="5760"/>
        <w:jc w:val="both"/>
        <w:rPr>
          <w:rFonts w:cs="Times New Roman"/>
          <w:szCs w:val="26"/>
        </w:rPr>
      </w:pPr>
    </w:p>
    <w:p w14:paraId="3952A85A" w14:textId="061E8B20" w:rsidR="00C57CD2" w:rsidRDefault="000E12D3" w:rsidP="00A5586A">
      <w:pPr>
        <w:tabs>
          <w:tab w:val="left" w:pos="720"/>
        </w:tabs>
        <w:ind w:left="5760"/>
        <w:jc w:val="both"/>
        <w:rPr>
          <w:rFonts w:cs="Times New Roman"/>
          <w:szCs w:val="26"/>
        </w:rPr>
      </w:pPr>
      <w:r w:rsidRPr="000E12D3">
        <w:rPr>
          <w:rFonts w:cs="Times New Roman"/>
          <w:szCs w:val="26"/>
        </w:rPr>
        <w:t>[]</w:t>
      </w:r>
    </w:p>
    <w:p w14:paraId="3C38663C" w14:textId="77777777" w:rsidR="00FD3AC4" w:rsidRDefault="00FD3AC4" w:rsidP="00A5586A">
      <w:pPr>
        <w:tabs>
          <w:tab w:val="left" w:pos="720"/>
        </w:tabs>
        <w:ind w:left="5760"/>
        <w:jc w:val="both"/>
        <w:rPr>
          <w:rFonts w:cs="Times New Roman"/>
          <w:szCs w:val="26"/>
        </w:rPr>
      </w:pPr>
    </w:p>
    <w:p w14:paraId="34B719D9" w14:textId="3A5BE47A" w:rsidR="00FD3AC4" w:rsidRDefault="00FD3AC4" w:rsidP="00A5586A">
      <w:pPr>
        <w:tabs>
          <w:tab w:val="left" w:pos="720"/>
        </w:tabs>
        <w:ind w:left="5760"/>
        <w:jc w:val="both"/>
        <w:rPr>
          <w:rFonts w:cs="Times New Roman"/>
          <w:szCs w:val="26"/>
        </w:rPr>
      </w:pPr>
      <w:r>
        <w:rPr>
          <w:rFonts w:cs="Times New Roman"/>
          <w:szCs w:val="26"/>
        </w:rPr>
        <w:t>[Name]</w:t>
      </w:r>
    </w:p>
    <w:p w14:paraId="5B7DA255" w14:textId="51F2787F" w:rsidR="00FD3AC4" w:rsidRDefault="00FD3AC4" w:rsidP="00A5586A">
      <w:pPr>
        <w:tabs>
          <w:tab w:val="left" w:pos="720"/>
        </w:tabs>
        <w:ind w:left="5760"/>
        <w:jc w:val="both"/>
        <w:rPr>
          <w:rFonts w:cs="Times New Roman"/>
          <w:szCs w:val="26"/>
        </w:rPr>
      </w:pPr>
      <w:r>
        <w:rPr>
          <w:rFonts w:cs="Times New Roman"/>
          <w:szCs w:val="26"/>
        </w:rPr>
        <w:t>[Address]</w:t>
      </w:r>
    </w:p>
    <w:p w14:paraId="137B799E" w14:textId="181497FC" w:rsidR="00FD3AC4" w:rsidRDefault="00FD3AC4" w:rsidP="00A5586A">
      <w:pPr>
        <w:tabs>
          <w:tab w:val="left" w:pos="720"/>
        </w:tabs>
        <w:ind w:left="5760"/>
        <w:jc w:val="both"/>
        <w:rPr>
          <w:rFonts w:cs="Times New Roman"/>
          <w:szCs w:val="26"/>
        </w:rPr>
      </w:pPr>
      <w:r>
        <w:rPr>
          <w:rFonts w:cs="Times New Roman"/>
          <w:szCs w:val="26"/>
        </w:rPr>
        <w:t>[E-mail address]</w:t>
      </w:r>
    </w:p>
    <w:p w14:paraId="40C649ED" w14:textId="15C8E932" w:rsidR="00FD3AC4" w:rsidRDefault="00FD3AC4" w:rsidP="00A5586A">
      <w:pPr>
        <w:tabs>
          <w:tab w:val="left" w:pos="720"/>
        </w:tabs>
        <w:ind w:left="5760"/>
        <w:jc w:val="both"/>
        <w:rPr>
          <w:rFonts w:cs="Times New Roman"/>
          <w:szCs w:val="26"/>
        </w:rPr>
      </w:pPr>
      <w:r>
        <w:rPr>
          <w:rFonts w:cs="Times New Roman"/>
          <w:szCs w:val="26"/>
        </w:rPr>
        <w:t>[Telephone number]</w:t>
      </w:r>
    </w:p>
    <w:p w14:paraId="2DD2341C" w14:textId="77777777" w:rsidR="00C57CD2" w:rsidRDefault="00C57CD2" w:rsidP="00C57CD2">
      <w:pPr>
        <w:tabs>
          <w:tab w:val="left" w:pos="720"/>
        </w:tabs>
        <w:jc w:val="both"/>
        <w:rPr>
          <w:rFonts w:cs="Times New Roman"/>
          <w:szCs w:val="26"/>
        </w:rPr>
        <w:sectPr w:rsidR="00C57CD2" w:rsidSect="000106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7425E119" w14:textId="77777777" w:rsidR="00C57CD2" w:rsidRPr="00FD3AC4" w:rsidRDefault="00C57CD2" w:rsidP="00C57CD2">
      <w:pPr>
        <w:pStyle w:val="Body"/>
        <w:spacing w:before="4" w:beforeAutospacing="0" w:after="4" w:afterAutospacing="0"/>
        <w:jc w:val="left"/>
        <w:rPr>
          <w:rFonts w:ascii="Calisto MT" w:hAnsi="Calisto MT"/>
          <w:b/>
          <w:bCs/>
          <w:sz w:val="36"/>
          <w:szCs w:val="36"/>
          <w:u w:val="single"/>
        </w:rPr>
      </w:pPr>
      <w:r w:rsidRPr="00FD3AC4">
        <w:rPr>
          <w:rFonts w:ascii="Calisto MT" w:hAnsi="Calisto MT"/>
          <w:b/>
          <w:bCs/>
          <w:sz w:val="36"/>
          <w:szCs w:val="36"/>
          <w:u w:val="single"/>
        </w:rPr>
        <w:lastRenderedPageBreak/>
        <w:t>Disclosure</w:t>
      </w:r>
    </w:p>
    <w:p w14:paraId="6C396E7F" w14:textId="77777777" w:rsidR="00C57CD2" w:rsidRPr="00FD3AC4" w:rsidRDefault="00C57CD2" w:rsidP="00C57CD2">
      <w:pPr>
        <w:pStyle w:val="Body"/>
        <w:spacing w:before="4" w:beforeAutospacing="0" w:after="4" w:afterAutospacing="0" w:line="120" w:lineRule="auto"/>
        <w:jc w:val="left"/>
        <w:rPr>
          <w:rFonts w:ascii="Calisto MT" w:hAnsi="Calisto MT"/>
          <w:b/>
          <w:bCs/>
          <w:sz w:val="32"/>
          <w:szCs w:val="32"/>
        </w:rPr>
      </w:pPr>
    </w:p>
    <w:p w14:paraId="7250E60F" w14:textId="77777777" w:rsidR="00C57CD2" w:rsidRPr="00FD3AC4" w:rsidRDefault="00C57CD2" w:rsidP="00C57CD2">
      <w:pPr>
        <w:pStyle w:val="Body"/>
        <w:spacing w:before="4" w:beforeAutospacing="0" w:after="4" w:afterAutospacing="0"/>
        <w:jc w:val="left"/>
        <w:rPr>
          <w:rFonts w:ascii="Calisto MT" w:hAnsi="Calisto MT"/>
          <w:b/>
          <w:bCs/>
        </w:rPr>
      </w:pPr>
      <w:r w:rsidRPr="00FD3AC4">
        <w:rPr>
          <w:rFonts w:ascii="Calisto MT" w:hAnsi="Calisto MT"/>
          <w:b/>
          <w:bCs/>
        </w:rPr>
        <w:t>Fed. R. Crim. P. 12.4 Disclosure Statement</w:t>
      </w:r>
    </w:p>
    <w:p w14:paraId="2496CB41" w14:textId="77777777" w:rsidR="00C57CD2" w:rsidRPr="00FD3AC4" w:rsidRDefault="00C57CD2" w:rsidP="00C57CD2">
      <w:pPr>
        <w:pStyle w:val="Body"/>
        <w:spacing w:before="4" w:beforeAutospacing="0" w:after="4" w:afterAutospacing="0"/>
        <w:jc w:val="left"/>
        <w:rPr>
          <w:rFonts w:ascii="Calisto MT" w:hAnsi="Calisto MT"/>
          <w:b/>
          <w:bCs/>
        </w:rPr>
      </w:pPr>
      <w:r w:rsidRPr="00FD3AC4">
        <w:rPr>
          <w:rFonts w:ascii="Calisto MT" w:hAnsi="Calisto MT"/>
          <w:b/>
          <w:bCs/>
        </w:rPr>
        <w:t>(a) Who Must File.</w:t>
      </w:r>
    </w:p>
    <w:p w14:paraId="4800558E" w14:textId="77777777" w:rsidR="00C57CD2" w:rsidRPr="00FD3AC4" w:rsidRDefault="00C57CD2" w:rsidP="00C57CD2">
      <w:pPr>
        <w:pStyle w:val="Body"/>
        <w:spacing w:before="4" w:beforeAutospacing="0" w:after="4" w:afterAutospacing="0"/>
        <w:ind w:left="288"/>
        <w:jc w:val="left"/>
        <w:rPr>
          <w:rFonts w:ascii="Calisto MT" w:hAnsi="Calisto MT"/>
        </w:rPr>
      </w:pPr>
      <w:r w:rsidRPr="00FD3AC4">
        <w:rPr>
          <w:rFonts w:ascii="Calisto MT" w:hAnsi="Calisto MT"/>
          <w:b/>
          <w:bCs/>
        </w:rPr>
        <w:t>(1)</w:t>
      </w:r>
      <w:r w:rsidRPr="00FD3AC4">
        <w:rPr>
          <w:rFonts w:ascii="Calisto MT" w:hAnsi="Calisto MT"/>
          <w:b/>
          <w:bCs/>
          <w:i/>
          <w:iCs/>
        </w:rPr>
        <w:t xml:space="preserve"> Nongovernmental Corporate Party.</w:t>
      </w:r>
      <w:r w:rsidRPr="00FD3AC4">
        <w:rPr>
          <w:rFonts w:ascii="Calisto MT" w:hAnsi="Calisto MT"/>
        </w:rPr>
        <w:t xml:space="preserve"> Any nongovernmental corporate party to a proceeding in a district court must file a statement that identifies any parent corporation and any publicly held corporation that owns 10% or more of its stock or states that there is no such corporation.</w:t>
      </w:r>
    </w:p>
    <w:p w14:paraId="4FDEF35D" w14:textId="77777777" w:rsidR="00C57CD2" w:rsidRPr="00FD3AC4" w:rsidRDefault="00C57CD2" w:rsidP="00C57CD2">
      <w:pPr>
        <w:pStyle w:val="Body"/>
        <w:spacing w:before="4" w:beforeAutospacing="0" w:after="4" w:afterAutospacing="0"/>
        <w:ind w:left="288"/>
        <w:jc w:val="left"/>
        <w:rPr>
          <w:rFonts w:ascii="Calisto MT" w:hAnsi="Calisto MT"/>
          <w:b/>
          <w:bCs/>
          <w:i/>
          <w:iCs/>
        </w:rPr>
      </w:pPr>
      <w:r w:rsidRPr="00FD3AC4">
        <w:rPr>
          <w:rFonts w:ascii="Calisto MT" w:hAnsi="Calisto MT"/>
          <w:b/>
          <w:bCs/>
        </w:rPr>
        <w:t>(2)</w:t>
      </w:r>
      <w:r w:rsidRPr="00FD3AC4">
        <w:rPr>
          <w:rFonts w:ascii="Calisto MT" w:hAnsi="Calisto MT"/>
          <w:b/>
          <w:bCs/>
          <w:i/>
          <w:iCs/>
        </w:rPr>
        <w:t xml:space="preserve"> Organizational Victim.</w:t>
      </w:r>
    </w:p>
    <w:p w14:paraId="372B1B44" w14:textId="77777777" w:rsidR="00C57CD2" w:rsidRPr="00FD3AC4" w:rsidRDefault="00C57CD2" w:rsidP="00C57CD2">
      <w:pPr>
        <w:pStyle w:val="Body"/>
        <w:spacing w:before="4" w:beforeAutospacing="0" w:after="4" w:afterAutospacing="0"/>
        <w:ind w:left="288"/>
        <w:jc w:val="left"/>
        <w:rPr>
          <w:rFonts w:ascii="Calisto MT" w:hAnsi="Calisto MT"/>
        </w:rPr>
      </w:pPr>
      <w:r w:rsidRPr="00FD3AC4">
        <w:rPr>
          <w:rFonts w:ascii="Calisto MT" w:hAnsi="Calisto MT"/>
        </w:rPr>
        <w:t>Unless the government shows good cause, it must file a statement identifying any organizational victim of the alleged criminal activity. If the organizational victim is a corporation, the statement must also disclose the information required by Rule 12.4(a)(1) to the extent it can be obtained through due diligence.</w:t>
      </w:r>
    </w:p>
    <w:p w14:paraId="0BC1C970" w14:textId="77777777" w:rsidR="00C57CD2" w:rsidRPr="00FD3AC4" w:rsidRDefault="00C57CD2" w:rsidP="00C57CD2">
      <w:pPr>
        <w:pStyle w:val="Body"/>
        <w:spacing w:before="4" w:beforeAutospacing="0" w:after="4" w:afterAutospacing="0"/>
        <w:jc w:val="left"/>
        <w:rPr>
          <w:rFonts w:ascii="Calisto MT" w:hAnsi="Calisto MT"/>
          <w:b/>
          <w:bCs/>
        </w:rPr>
      </w:pPr>
      <w:r w:rsidRPr="00FD3AC4">
        <w:rPr>
          <w:rFonts w:ascii="Calisto MT" w:hAnsi="Calisto MT"/>
          <w:b/>
          <w:bCs/>
        </w:rPr>
        <w:t>(b) Time to File; Later Filing.</w:t>
      </w:r>
    </w:p>
    <w:p w14:paraId="245976FA" w14:textId="77777777" w:rsidR="00C57CD2" w:rsidRPr="00FD3AC4" w:rsidRDefault="00C57CD2" w:rsidP="00C57CD2">
      <w:pPr>
        <w:pStyle w:val="Body"/>
        <w:spacing w:before="4" w:beforeAutospacing="0" w:after="4" w:afterAutospacing="0"/>
        <w:jc w:val="left"/>
        <w:rPr>
          <w:rFonts w:ascii="Calisto MT" w:hAnsi="Calisto MT"/>
        </w:rPr>
      </w:pPr>
      <w:r w:rsidRPr="00FD3AC4">
        <w:rPr>
          <w:rFonts w:ascii="Calisto MT" w:hAnsi="Calisto MT"/>
        </w:rPr>
        <w:t>A party must:</w:t>
      </w:r>
    </w:p>
    <w:p w14:paraId="17360B85" w14:textId="77777777" w:rsidR="00C57CD2" w:rsidRPr="00FD3AC4" w:rsidRDefault="00C57CD2" w:rsidP="00C57CD2">
      <w:pPr>
        <w:pStyle w:val="Body"/>
        <w:spacing w:before="4" w:beforeAutospacing="0" w:after="4" w:afterAutospacing="0"/>
        <w:ind w:left="288"/>
        <w:jc w:val="left"/>
        <w:rPr>
          <w:rFonts w:ascii="Calisto MT" w:hAnsi="Calisto MT"/>
        </w:rPr>
      </w:pPr>
      <w:r w:rsidRPr="00FD3AC4">
        <w:rPr>
          <w:rFonts w:ascii="Calisto MT" w:hAnsi="Calisto MT"/>
          <w:b/>
          <w:bCs/>
        </w:rPr>
        <w:t>(1)</w:t>
      </w:r>
      <w:r w:rsidRPr="00FD3AC4">
        <w:rPr>
          <w:rFonts w:ascii="Calisto MT" w:hAnsi="Calisto MT"/>
        </w:rPr>
        <w:t xml:space="preserve"> file the Rule 12.4(a) statement within 28 days after the defendant's initial appearance; and</w:t>
      </w:r>
    </w:p>
    <w:p w14:paraId="0F64B7B9" w14:textId="77777777" w:rsidR="00C57CD2" w:rsidRPr="00FD3AC4" w:rsidRDefault="00C57CD2" w:rsidP="00C57CD2">
      <w:pPr>
        <w:pStyle w:val="Body"/>
        <w:spacing w:before="4" w:beforeAutospacing="0" w:after="4" w:afterAutospacing="0"/>
        <w:ind w:left="288"/>
        <w:jc w:val="left"/>
        <w:rPr>
          <w:rFonts w:ascii="Calisto MT" w:hAnsi="Calisto MT"/>
        </w:rPr>
      </w:pPr>
      <w:r w:rsidRPr="00FD3AC4">
        <w:rPr>
          <w:rFonts w:ascii="Calisto MT" w:hAnsi="Calisto MT"/>
          <w:b/>
          <w:bCs/>
        </w:rPr>
        <w:t>(2)</w:t>
      </w:r>
      <w:r w:rsidRPr="00FD3AC4">
        <w:rPr>
          <w:rFonts w:ascii="Calisto MT" w:hAnsi="Calisto MT"/>
        </w:rPr>
        <w:t xml:space="preserve"> promptly file a later statement if any required information changes.</w:t>
      </w:r>
    </w:p>
    <w:p w14:paraId="25E8F5D9" w14:textId="77777777" w:rsidR="00C57CD2" w:rsidRPr="00FD3AC4" w:rsidRDefault="00C57CD2" w:rsidP="00C57CD2">
      <w:pPr>
        <w:pStyle w:val="Body"/>
        <w:spacing w:before="4" w:beforeAutospacing="0" w:after="4" w:afterAutospacing="0"/>
        <w:ind w:left="288"/>
        <w:jc w:val="left"/>
        <w:rPr>
          <w:rFonts w:ascii="Calisto MT" w:hAnsi="Calisto MT"/>
        </w:rPr>
      </w:pPr>
    </w:p>
    <w:p w14:paraId="381D2F1E" w14:textId="4BBEAB62" w:rsidR="00C57CD2" w:rsidRPr="00FD3AC4" w:rsidRDefault="00C57CD2" w:rsidP="00C57CD2">
      <w:pPr>
        <w:pStyle w:val="Body"/>
        <w:spacing w:before="4" w:beforeAutospacing="0" w:after="4" w:afterAutospacing="0"/>
        <w:jc w:val="left"/>
        <w:rPr>
          <w:rFonts w:ascii="Calisto MT" w:hAnsi="Calisto MT"/>
          <w:b/>
          <w:bCs/>
          <w:sz w:val="36"/>
          <w:szCs w:val="36"/>
          <w:u w:val="single"/>
        </w:rPr>
      </w:pPr>
      <w:r w:rsidRPr="00FD3AC4">
        <w:rPr>
          <w:rFonts w:ascii="Calisto MT" w:hAnsi="Calisto MT"/>
          <w:b/>
          <w:bCs/>
          <w:sz w:val="36"/>
          <w:szCs w:val="36"/>
          <w:u w:val="single"/>
        </w:rPr>
        <w:t>Recusal and Disqualification</w:t>
      </w:r>
    </w:p>
    <w:p w14:paraId="52A555EF" w14:textId="77777777" w:rsidR="00C57CD2" w:rsidRPr="00FD3AC4" w:rsidRDefault="00C57CD2" w:rsidP="00C57CD2">
      <w:pPr>
        <w:pStyle w:val="Body"/>
        <w:spacing w:before="4" w:beforeAutospacing="0" w:after="4" w:afterAutospacing="0" w:line="120" w:lineRule="auto"/>
        <w:jc w:val="left"/>
        <w:rPr>
          <w:rFonts w:ascii="Calisto MT" w:eastAsia="Calibri" w:hAnsi="Calisto MT" w:cs="Times New Roman"/>
          <w:kern w:val="0"/>
        </w:rPr>
      </w:pPr>
    </w:p>
    <w:p w14:paraId="4B9AB592" w14:textId="4FFE152F" w:rsidR="00C57CD2" w:rsidRPr="00FD3AC4" w:rsidRDefault="00C57CD2" w:rsidP="00C57CD2">
      <w:pPr>
        <w:pStyle w:val="Body"/>
        <w:spacing w:before="4" w:beforeAutospacing="0" w:after="4" w:afterAutospacing="0"/>
        <w:jc w:val="left"/>
        <w:rPr>
          <w:rFonts w:ascii="Calisto MT" w:eastAsia="Calibri" w:hAnsi="Calisto MT" w:cs="Times New Roman"/>
          <w:kern w:val="0"/>
        </w:rPr>
      </w:pPr>
      <w:r w:rsidRPr="00FD3AC4">
        <w:rPr>
          <w:rFonts w:ascii="Calisto MT" w:eastAsia="Calibri" w:hAnsi="Calisto MT" w:cs="Times New Roman"/>
          <w:b/>
          <w:bCs/>
          <w:kern w:val="0"/>
        </w:rPr>
        <w:t>28 U.S.C. § 455—Disqualification of justice, judge, or magistrate judge</w:t>
      </w:r>
    </w:p>
    <w:p w14:paraId="09346D59" w14:textId="77777777" w:rsidR="00C57CD2" w:rsidRPr="00FD3AC4" w:rsidRDefault="00C57CD2" w:rsidP="00C57CD2">
      <w:pPr>
        <w:pStyle w:val="Body"/>
        <w:spacing w:before="4" w:beforeAutospacing="0" w:after="4" w:afterAutospacing="0"/>
        <w:jc w:val="left"/>
        <w:rPr>
          <w:rFonts w:ascii="Calisto MT" w:hAnsi="Calisto MT"/>
        </w:rPr>
      </w:pPr>
      <w:r w:rsidRPr="00FD3AC4">
        <w:rPr>
          <w:rFonts w:ascii="Calisto MT" w:hAnsi="Calisto MT"/>
          <w:b/>
          <w:bCs/>
        </w:rPr>
        <w:t>(a)</w:t>
      </w:r>
      <w:r w:rsidRPr="00FD3AC4">
        <w:rPr>
          <w:rFonts w:ascii="Calisto MT" w:hAnsi="Calisto MT"/>
        </w:rPr>
        <w:t xml:space="preserve"> Any justice, judge, or magistrate judge of the United States shall disqualify himself in any proceeding in which his impartiality might reasonably be questioned.</w:t>
      </w:r>
    </w:p>
    <w:p w14:paraId="3B53A881" w14:textId="77777777" w:rsidR="00C57CD2" w:rsidRPr="00FD3AC4" w:rsidRDefault="00C57CD2" w:rsidP="00C57CD2">
      <w:pPr>
        <w:pStyle w:val="Body"/>
        <w:spacing w:before="4" w:beforeAutospacing="0" w:after="4" w:afterAutospacing="0"/>
        <w:jc w:val="left"/>
        <w:rPr>
          <w:rFonts w:ascii="Calisto MT" w:hAnsi="Calisto MT"/>
        </w:rPr>
      </w:pPr>
      <w:r w:rsidRPr="00FD3AC4">
        <w:rPr>
          <w:rFonts w:ascii="Calisto MT" w:hAnsi="Calisto MT"/>
          <w:b/>
          <w:bCs/>
        </w:rPr>
        <w:t>(b)</w:t>
      </w:r>
      <w:r w:rsidRPr="00FD3AC4">
        <w:rPr>
          <w:rFonts w:ascii="Calisto MT" w:hAnsi="Calisto MT"/>
        </w:rPr>
        <w:t xml:space="preserve"> He shall also disqualify himself in the following circumstances:</w:t>
      </w:r>
    </w:p>
    <w:p w14:paraId="1374270C" w14:textId="77777777" w:rsidR="00C57CD2" w:rsidRPr="00FD3AC4" w:rsidRDefault="00C57CD2" w:rsidP="00C57CD2">
      <w:pPr>
        <w:pStyle w:val="Body"/>
        <w:spacing w:before="4" w:beforeAutospacing="0" w:after="4" w:afterAutospacing="0"/>
        <w:ind w:left="288"/>
        <w:jc w:val="left"/>
        <w:rPr>
          <w:rFonts w:ascii="Calisto MT" w:hAnsi="Calisto MT"/>
        </w:rPr>
      </w:pPr>
      <w:r w:rsidRPr="00FD3AC4">
        <w:rPr>
          <w:rFonts w:ascii="Calisto MT" w:hAnsi="Calisto MT"/>
          <w:b/>
          <w:bCs/>
        </w:rPr>
        <w:t>(1)</w:t>
      </w:r>
      <w:r w:rsidRPr="00FD3AC4">
        <w:rPr>
          <w:rFonts w:ascii="Calisto MT" w:hAnsi="Calisto MT"/>
        </w:rPr>
        <w:t xml:space="preserve"> Where he has a personal bias or prejudice concerning a party, or personal knowledge of disputed evidentiary facts concerning the proceeding;</w:t>
      </w:r>
    </w:p>
    <w:p w14:paraId="6A0AA417" w14:textId="77777777" w:rsidR="00C57CD2" w:rsidRPr="00FD3AC4" w:rsidRDefault="00C57CD2" w:rsidP="00C57CD2">
      <w:pPr>
        <w:pStyle w:val="Body"/>
        <w:spacing w:before="4" w:beforeAutospacing="0" w:after="4" w:afterAutospacing="0"/>
        <w:ind w:left="288"/>
        <w:jc w:val="left"/>
        <w:rPr>
          <w:rFonts w:ascii="Calisto MT" w:hAnsi="Calisto MT"/>
        </w:rPr>
      </w:pPr>
      <w:r w:rsidRPr="00FD3AC4">
        <w:rPr>
          <w:rFonts w:ascii="Calisto MT" w:hAnsi="Calisto MT"/>
          <w:b/>
          <w:bCs/>
        </w:rPr>
        <w:t>(2)</w:t>
      </w:r>
      <w:r w:rsidRPr="00FD3AC4">
        <w:rPr>
          <w:rFonts w:ascii="Calisto MT" w:hAnsi="Calisto MT"/>
        </w:rPr>
        <w:t xml:space="preserve"> Where in private practice he served as lawyer in the matter in controversy, or a lawyer with whom he previously practiced law served during such association as a lawyer concerning the matter, or the judge or such lawyer has been a material witness concerning it;</w:t>
      </w:r>
    </w:p>
    <w:p w14:paraId="3545F10E" w14:textId="77777777" w:rsidR="00C57CD2" w:rsidRPr="00FD3AC4" w:rsidRDefault="00C57CD2" w:rsidP="00C57CD2">
      <w:pPr>
        <w:pStyle w:val="Body"/>
        <w:spacing w:before="4" w:beforeAutospacing="0" w:after="4" w:afterAutospacing="0"/>
        <w:ind w:left="288"/>
        <w:jc w:val="left"/>
        <w:rPr>
          <w:rFonts w:ascii="Calisto MT" w:hAnsi="Calisto MT"/>
        </w:rPr>
      </w:pPr>
      <w:r w:rsidRPr="00FD3AC4">
        <w:rPr>
          <w:rFonts w:ascii="Calisto MT" w:hAnsi="Calisto MT"/>
          <w:b/>
          <w:bCs/>
        </w:rPr>
        <w:t>(3)</w:t>
      </w:r>
      <w:r w:rsidRPr="00FD3AC4">
        <w:rPr>
          <w:rFonts w:ascii="Calisto MT" w:hAnsi="Calisto MT"/>
        </w:rPr>
        <w:t xml:space="preserve"> Where he has served in governmental employment and in such capacity participated as counsel, adviser or material witness concerning the proceeding or expressed an opinion concerning the merits of the particular case in controversy;</w:t>
      </w:r>
    </w:p>
    <w:p w14:paraId="573D72BD" w14:textId="77777777" w:rsidR="00C57CD2" w:rsidRPr="00FD3AC4" w:rsidRDefault="00C57CD2" w:rsidP="00C57CD2">
      <w:pPr>
        <w:pStyle w:val="Body"/>
        <w:spacing w:before="4" w:beforeAutospacing="0" w:after="4" w:afterAutospacing="0"/>
        <w:ind w:left="288"/>
        <w:jc w:val="left"/>
        <w:rPr>
          <w:rFonts w:ascii="Calisto MT" w:hAnsi="Calisto MT"/>
        </w:rPr>
      </w:pPr>
      <w:r w:rsidRPr="00FD3AC4">
        <w:rPr>
          <w:rFonts w:ascii="Calisto MT" w:hAnsi="Calisto MT"/>
          <w:b/>
          <w:bCs/>
        </w:rPr>
        <w:t>(4)</w:t>
      </w:r>
      <w:r w:rsidRPr="00FD3AC4">
        <w:rPr>
          <w:rFonts w:ascii="Calisto MT" w:hAnsi="Calisto MT"/>
        </w:rPr>
        <w:t xml:space="preserve"> He knows that he, individually or as a fiduciary, or his spouse or minor child residing in his household, has a financial interest in the subject matter in controversy or in a party to the proceeding, or any other interest that could be substantially affected by the outcome of the proceeding;</w:t>
      </w:r>
    </w:p>
    <w:p w14:paraId="6B678F87" w14:textId="77777777" w:rsidR="00C57CD2" w:rsidRPr="00FD3AC4" w:rsidRDefault="00C57CD2" w:rsidP="00C57CD2">
      <w:pPr>
        <w:pStyle w:val="Body"/>
        <w:spacing w:before="4" w:beforeAutospacing="0" w:after="4" w:afterAutospacing="0"/>
        <w:ind w:left="288"/>
        <w:jc w:val="left"/>
        <w:rPr>
          <w:rFonts w:ascii="Calisto MT" w:hAnsi="Calisto MT"/>
        </w:rPr>
      </w:pPr>
      <w:r w:rsidRPr="00FD3AC4">
        <w:rPr>
          <w:rFonts w:ascii="Calisto MT" w:hAnsi="Calisto MT"/>
          <w:b/>
          <w:bCs/>
        </w:rPr>
        <w:t>(5)</w:t>
      </w:r>
      <w:r w:rsidRPr="00FD3AC4">
        <w:rPr>
          <w:rFonts w:ascii="Calisto MT" w:hAnsi="Calisto MT"/>
        </w:rPr>
        <w:t xml:space="preserve"> He or his spouse, or a person within the third degree of relationship to either of them, or the spouse of such a person:</w:t>
      </w:r>
    </w:p>
    <w:p w14:paraId="7EFA2A32" w14:textId="77777777" w:rsidR="00C57CD2" w:rsidRPr="00FD3AC4" w:rsidRDefault="00C57CD2" w:rsidP="00C57CD2">
      <w:pPr>
        <w:pStyle w:val="Body"/>
        <w:spacing w:before="4" w:beforeAutospacing="0" w:after="4" w:afterAutospacing="0"/>
        <w:ind w:left="432"/>
        <w:jc w:val="left"/>
        <w:rPr>
          <w:rFonts w:ascii="Calisto MT" w:hAnsi="Calisto MT"/>
        </w:rPr>
      </w:pPr>
      <w:r w:rsidRPr="00FD3AC4">
        <w:rPr>
          <w:rFonts w:ascii="Calisto MT" w:hAnsi="Calisto MT"/>
          <w:b/>
          <w:bCs/>
        </w:rPr>
        <w:t>(i)</w:t>
      </w:r>
      <w:r w:rsidRPr="00FD3AC4">
        <w:rPr>
          <w:rFonts w:ascii="Calisto MT" w:hAnsi="Calisto MT"/>
        </w:rPr>
        <w:t xml:space="preserve"> Is a party to the proceeding, or an officer, director, or trustee of a party;</w:t>
      </w:r>
    </w:p>
    <w:p w14:paraId="5E31BF9E" w14:textId="77777777" w:rsidR="00C57CD2" w:rsidRPr="00FD3AC4" w:rsidRDefault="00C57CD2" w:rsidP="00C57CD2">
      <w:pPr>
        <w:pStyle w:val="Body"/>
        <w:spacing w:before="4" w:beforeAutospacing="0" w:after="4" w:afterAutospacing="0"/>
        <w:ind w:left="432"/>
        <w:jc w:val="left"/>
        <w:rPr>
          <w:rFonts w:ascii="Calisto MT" w:hAnsi="Calisto MT"/>
        </w:rPr>
      </w:pPr>
      <w:r w:rsidRPr="00FD3AC4">
        <w:rPr>
          <w:rFonts w:ascii="Calisto MT" w:hAnsi="Calisto MT"/>
          <w:b/>
          <w:bCs/>
        </w:rPr>
        <w:t>(ii)</w:t>
      </w:r>
      <w:r w:rsidRPr="00FD3AC4">
        <w:rPr>
          <w:rFonts w:ascii="Calisto MT" w:hAnsi="Calisto MT"/>
        </w:rPr>
        <w:t xml:space="preserve"> Is acting as a lawyer in the proceeding;</w:t>
      </w:r>
    </w:p>
    <w:p w14:paraId="3590E930" w14:textId="77777777" w:rsidR="00C57CD2" w:rsidRPr="00FD3AC4" w:rsidRDefault="00C57CD2" w:rsidP="00C57CD2">
      <w:pPr>
        <w:pStyle w:val="Body"/>
        <w:spacing w:before="4" w:beforeAutospacing="0" w:after="4" w:afterAutospacing="0"/>
        <w:ind w:left="432"/>
        <w:jc w:val="left"/>
        <w:rPr>
          <w:rFonts w:ascii="Calisto MT" w:hAnsi="Calisto MT"/>
        </w:rPr>
      </w:pPr>
      <w:r w:rsidRPr="00FD3AC4">
        <w:rPr>
          <w:rFonts w:ascii="Calisto MT" w:hAnsi="Calisto MT"/>
          <w:b/>
          <w:bCs/>
        </w:rPr>
        <w:t>(iii)</w:t>
      </w:r>
      <w:r w:rsidRPr="00FD3AC4">
        <w:rPr>
          <w:rFonts w:ascii="Calisto MT" w:hAnsi="Calisto MT"/>
        </w:rPr>
        <w:t xml:space="preserve"> Is known by the judge to have an interest that could be substantially affected by the outcome of the proceeding;</w:t>
      </w:r>
    </w:p>
    <w:p w14:paraId="134EB9A5" w14:textId="77777777" w:rsidR="00C57CD2" w:rsidRPr="00FD3AC4" w:rsidRDefault="00C57CD2" w:rsidP="00C57CD2">
      <w:pPr>
        <w:pStyle w:val="Body"/>
        <w:spacing w:before="4" w:beforeAutospacing="0" w:after="4" w:afterAutospacing="0"/>
        <w:ind w:left="432"/>
        <w:jc w:val="left"/>
        <w:rPr>
          <w:rFonts w:ascii="Calisto MT" w:hAnsi="Calisto MT"/>
        </w:rPr>
      </w:pPr>
      <w:r w:rsidRPr="00FD3AC4">
        <w:rPr>
          <w:rFonts w:ascii="Calisto MT" w:hAnsi="Calisto MT"/>
          <w:b/>
          <w:bCs/>
        </w:rPr>
        <w:t>(iv)</w:t>
      </w:r>
      <w:r w:rsidRPr="00FD3AC4">
        <w:rPr>
          <w:rFonts w:ascii="Calisto MT" w:hAnsi="Calisto MT"/>
        </w:rPr>
        <w:t xml:space="preserve"> Is to the judge’s knowledge likely to be a material witness in the proceeding.</w:t>
      </w:r>
    </w:p>
    <w:p w14:paraId="4E34B54C" w14:textId="77777777" w:rsidR="00C57CD2" w:rsidRPr="00FD3AC4" w:rsidRDefault="00C57CD2" w:rsidP="00C57CD2">
      <w:pPr>
        <w:pStyle w:val="Body"/>
        <w:spacing w:before="4" w:beforeAutospacing="0" w:after="4" w:afterAutospacing="0" w:line="120" w:lineRule="auto"/>
        <w:ind w:left="432"/>
        <w:jc w:val="left"/>
        <w:rPr>
          <w:rFonts w:ascii="Calisto MT" w:hAnsi="Calisto MT"/>
        </w:rPr>
      </w:pPr>
    </w:p>
    <w:p w14:paraId="53AC3B2C" w14:textId="2B7F1016" w:rsidR="00C57CD2" w:rsidRPr="00FD3AC4" w:rsidRDefault="00C57CD2" w:rsidP="00C57CD2">
      <w:pPr>
        <w:pStyle w:val="Body"/>
        <w:spacing w:before="4" w:beforeAutospacing="0" w:after="4" w:afterAutospacing="0"/>
        <w:jc w:val="left"/>
        <w:rPr>
          <w:rFonts w:cs="Times New Roman"/>
        </w:rPr>
      </w:pPr>
      <w:r w:rsidRPr="00FD3AC4">
        <w:rPr>
          <w:rFonts w:ascii="Calisto MT" w:eastAsia="Calibri" w:hAnsi="Calisto MT" w:cs="Times New Roman"/>
          <w:b/>
          <w:bCs/>
          <w:kern w:val="0"/>
        </w:rPr>
        <w:t>Case Law:</w:t>
      </w:r>
      <w:r w:rsidRPr="00FD3AC4">
        <w:rPr>
          <w:rFonts w:ascii="Calisto MT" w:eastAsia="Calibri" w:hAnsi="Calisto MT" w:cs="Times New Roman"/>
          <w:kern w:val="0"/>
        </w:rPr>
        <w:t xml:space="preserve"> “Section 455 creates two primary reasons for recusal.” </w:t>
      </w:r>
      <w:r w:rsidRPr="00FD3AC4">
        <w:rPr>
          <w:rFonts w:ascii="Calisto MT" w:eastAsia="Calibri" w:hAnsi="Calisto MT" w:cs="Times New Roman"/>
          <w:i/>
          <w:iCs/>
          <w:kern w:val="0"/>
        </w:rPr>
        <w:t>United States v. Patti</w:t>
      </w:r>
      <w:r w:rsidRPr="00FD3AC4">
        <w:rPr>
          <w:rFonts w:ascii="Calisto MT" w:eastAsia="Calibri" w:hAnsi="Calisto MT" w:cs="Times New Roman"/>
          <w:kern w:val="0"/>
        </w:rPr>
        <w:t xml:space="preserve">, 337 F.3d 1317, 1321 (11th Cir. 2003). “A judge should recuse himself under § 455(a) when there is an appearance of impropriety.” </w:t>
      </w:r>
      <w:r w:rsidRPr="00FD3AC4">
        <w:rPr>
          <w:rFonts w:ascii="Calisto MT" w:eastAsia="Calibri" w:hAnsi="Calisto MT" w:cs="Times New Roman"/>
          <w:i/>
          <w:iCs/>
          <w:kern w:val="0"/>
        </w:rPr>
        <w:t>Id.</w:t>
      </w:r>
      <w:r w:rsidRPr="00FD3AC4">
        <w:rPr>
          <w:rFonts w:ascii="Calisto MT" w:eastAsia="Calibri" w:hAnsi="Calisto MT" w:cs="Times New Roman"/>
          <w:kern w:val="0"/>
        </w:rPr>
        <w:t xml:space="preserve"> “The very purpose of § 455(a) is to promote confidence in the judiciary by avoiding even the appearance of impropriety whenever possible.” </w:t>
      </w:r>
      <w:r w:rsidRPr="00FD3AC4">
        <w:rPr>
          <w:rFonts w:ascii="Calisto MT" w:eastAsia="Calibri" w:hAnsi="Calisto MT" w:cs="Times New Roman"/>
          <w:i/>
          <w:iCs/>
          <w:kern w:val="0"/>
        </w:rPr>
        <w:t>Id.</w:t>
      </w:r>
      <w:r w:rsidRPr="00FD3AC4">
        <w:rPr>
          <w:rFonts w:ascii="Calisto MT" w:eastAsia="Calibri" w:hAnsi="Calisto MT" w:cs="Times New Roman"/>
          <w:kern w:val="0"/>
        </w:rPr>
        <w:t xml:space="preserve"> (quoted authority omitted). “Thus, the standard of review for a § 455(a) motion is whether an objective, disinterested, lay observer fully informed of the facts underlying the grounds on which recusal was sought would entertain a significant doubt about the judge’s impartiality, and any doubts must be resolved in favor of recusal[.]” </w:t>
      </w:r>
      <w:r w:rsidRPr="00FD3AC4">
        <w:rPr>
          <w:rFonts w:ascii="Calisto MT" w:eastAsia="Calibri" w:hAnsi="Calisto MT" w:cs="Times New Roman"/>
          <w:i/>
          <w:iCs/>
          <w:kern w:val="0"/>
        </w:rPr>
        <w:t>Id.</w:t>
      </w:r>
      <w:r w:rsidRPr="00FD3AC4">
        <w:rPr>
          <w:rFonts w:ascii="Calisto MT" w:eastAsia="Calibri" w:hAnsi="Calisto MT" w:cs="Times New Roman"/>
          <w:kern w:val="0"/>
        </w:rPr>
        <w:t xml:space="preserve"> (internal citations, quotation marks, and quoted authority omitted). “On the contrary, a judge should recuse himself under § 455(b) when any of the specific circumstances … in that subsection exist, which show the fact of partiality.” </w:t>
      </w:r>
      <w:r w:rsidRPr="00FD3AC4">
        <w:rPr>
          <w:rFonts w:ascii="Calisto MT" w:eastAsia="Calibri" w:hAnsi="Calisto MT" w:cs="Times New Roman"/>
          <w:i/>
          <w:iCs/>
          <w:kern w:val="0"/>
        </w:rPr>
        <w:t>Id.</w:t>
      </w:r>
      <w:r w:rsidRPr="00FD3AC4">
        <w:rPr>
          <w:rFonts w:ascii="Calisto MT" w:eastAsia="Calibri" w:hAnsi="Calisto MT" w:cs="Times New Roman"/>
          <w:kern w:val="0"/>
        </w:rPr>
        <w:t xml:space="preserve"> “Recusal under this subsection is mandatory[] because the potential for conflicts of interest are readily apparent.” </w:t>
      </w:r>
      <w:r w:rsidRPr="00FD3AC4">
        <w:rPr>
          <w:rFonts w:ascii="Calisto MT" w:eastAsia="Calibri" w:hAnsi="Calisto MT" w:cs="Times New Roman"/>
          <w:i/>
          <w:iCs/>
          <w:kern w:val="0"/>
        </w:rPr>
        <w:t>Id.</w:t>
      </w:r>
      <w:r w:rsidRPr="00FD3AC4">
        <w:rPr>
          <w:rFonts w:ascii="Calisto MT" w:hAnsi="Calisto MT"/>
        </w:rPr>
        <w:t xml:space="preserve"> (internal quotation marks and quoted authority omitted).</w:t>
      </w:r>
    </w:p>
    <w:sectPr w:rsidR="00C57CD2" w:rsidRPr="00FD3AC4" w:rsidSect="0001069A">
      <w:pgSz w:w="12240" w:h="15840"/>
      <w:pgMar w:top="576" w:right="576" w:bottom="576" w:left="576"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52858" w14:textId="77777777" w:rsidR="003E1B6E" w:rsidRDefault="003E1B6E" w:rsidP="0050277E">
      <w:r>
        <w:separator/>
      </w:r>
    </w:p>
  </w:endnote>
  <w:endnote w:type="continuationSeparator" w:id="0">
    <w:p w14:paraId="0D872EDE" w14:textId="77777777" w:rsidR="003E1B6E" w:rsidRDefault="003E1B6E" w:rsidP="0050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1896" w14:textId="77777777" w:rsidR="00062B16" w:rsidRDefault="00062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6"/>
      </w:rPr>
      <w:id w:val="-1629541984"/>
      <w:docPartObj>
        <w:docPartGallery w:val="Page Numbers (Bottom of Page)"/>
        <w:docPartUnique/>
      </w:docPartObj>
    </w:sdtPr>
    <w:sdtEndPr>
      <w:rPr>
        <w:noProof/>
        <w:szCs w:val="24"/>
      </w:rPr>
    </w:sdtEndPr>
    <w:sdtContent>
      <w:p w14:paraId="22457D77" w14:textId="683E976C" w:rsidR="00F255F3" w:rsidRPr="000B22F7" w:rsidRDefault="00F255F3" w:rsidP="00BA1AC6">
        <w:pPr>
          <w:pStyle w:val="Footer"/>
          <w:jc w:val="center"/>
          <w:rPr>
            <w:szCs w:val="24"/>
          </w:rPr>
        </w:pPr>
        <w:r w:rsidRPr="000B22F7">
          <w:rPr>
            <w:szCs w:val="24"/>
          </w:rPr>
          <w:fldChar w:fldCharType="begin"/>
        </w:r>
        <w:r w:rsidRPr="000B22F7">
          <w:rPr>
            <w:szCs w:val="24"/>
          </w:rPr>
          <w:instrText xml:space="preserve"> PAGE   \* MERGEFORMAT </w:instrText>
        </w:r>
        <w:r w:rsidRPr="000B22F7">
          <w:rPr>
            <w:szCs w:val="24"/>
          </w:rPr>
          <w:fldChar w:fldCharType="separate"/>
        </w:r>
        <w:r w:rsidRPr="000B22F7">
          <w:rPr>
            <w:noProof/>
            <w:szCs w:val="24"/>
          </w:rPr>
          <w:t>5</w:t>
        </w:r>
        <w:r w:rsidRPr="000B22F7">
          <w:rPr>
            <w:noProof/>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AD65" w14:textId="77777777" w:rsidR="00062B16" w:rsidRDefault="00062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9280" w14:textId="77777777" w:rsidR="003E1B6E" w:rsidRDefault="003E1B6E" w:rsidP="0050277E">
      <w:r>
        <w:separator/>
      </w:r>
    </w:p>
  </w:footnote>
  <w:footnote w:type="continuationSeparator" w:id="0">
    <w:p w14:paraId="0DA4CA0D" w14:textId="77777777" w:rsidR="003E1B6E" w:rsidRDefault="003E1B6E" w:rsidP="00502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4F73" w14:textId="77777777" w:rsidR="00062B16" w:rsidRDefault="00062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1348" w14:textId="2469E25B" w:rsidR="00C57CD2" w:rsidRPr="007B4152" w:rsidRDefault="00062B16">
    <w:pPr>
      <w:pStyle w:val="Header"/>
      <w:rPr>
        <w:smallCaps/>
        <w:sz w:val="18"/>
        <w:szCs w:val="18"/>
      </w:rPr>
    </w:pPr>
    <w:r>
      <w:rPr>
        <w:smallCaps/>
        <w:sz w:val="18"/>
        <w:szCs w:val="18"/>
      </w:rPr>
      <w:t>09/25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3AA7" w14:textId="209F1457" w:rsidR="00C57CD2" w:rsidRPr="0001069A" w:rsidRDefault="00C57CD2" w:rsidP="0001069A">
    <w:pPr>
      <w:pStyle w:val="Header"/>
      <w:jc w:val="center"/>
      <w:rPr>
        <w:b/>
        <w:bCs/>
        <w:sz w:val="2"/>
        <w:szCs w:val="2"/>
      </w:rPr>
    </w:pPr>
    <w:r w:rsidRPr="00C57CD2">
      <w:rPr>
        <w:b/>
        <w:bCs/>
        <w:sz w:val="32"/>
        <w:szCs w:val="24"/>
      </w:rPr>
      <w:t>Law for Disclosure Statement (Criminal)</w:t>
    </w:r>
  </w:p>
  <w:p w14:paraId="573C3A05" w14:textId="77777777" w:rsidR="0001069A" w:rsidRPr="0001069A" w:rsidRDefault="0001069A" w:rsidP="0001069A">
    <w:pPr>
      <w:pStyle w:val="Header"/>
      <w:jc w:val="center"/>
      <w:rPr>
        <w:b/>
        <w:bCs/>
        <w:sz w:val="14"/>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334"/>
    <w:multiLevelType w:val="hybridMultilevel"/>
    <w:tmpl w:val="BCF22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A1D27"/>
    <w:multiLevelType w:val="hybridMultilevel"/>
    <w:tmpl w:val="34DAFCF0"/>
    <w:lvl w:ilvl="0" w:tplc="B18263D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E6E6A"/>
    <w:multiLevelType w:val="hybridMultilevel"/>
    <w:tmpl w:val="8D72EB98"/>
    <w:lvl w:ilvl="0" w:tplc="0320576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4636F6"/>
    <w:multiLevelType w:val="hybridMultilevel"/>
    <w:tmpl w:val="6AB62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AF78DD"/>
    <w:multiLevelType w:val="hybridMultilevel"/>
    <w:tmpl w:val="ADBA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F3D7D"/>
    <w:multiLevelType w:val="hybridMultilevel"/>
    <w:tmpl w:val="D9AAD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74B16"/>
    <w:multiLevelType w:val="hybridMultilevel"/>
    <w:tmpl w:val="93E8D746"/>
    <w:lvl w:ilvl="0" w:tplc="56F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AB43B8"/>
    <w:multiLevelType w:val="hybridMultilevel"/>
    <w:tmpl w:val="FE70A38C"/>
    <w:lvl w:ilvl="0" w:tplc="D5E40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224BDE"/>
    <w:multiLevelType w:val="hybridMultilevel"/>
    <w:tmpl w:val="48BA6246"/>
    <w:lvl w:ilvl="0" w:tplc="E8521C68">
      <w:start w:val="1"/>
      <w:numFmt w:val="bullet"/>
      <w:lvlText w:val=""/>
      <w:lvlJc w:val="left"/>
      <w:pPr>
        <w:ind w:left="2880" w:hanging="360"/>
      </w:pPr>
      <w:rPr>
        <w:rFonts w:ascii="Wingdings" w:eastAsiaTheme="minorHAnsi" w:hAnsi="Wingdings" w:cstheme="minorBidi" w:hint="default"/>
        <w:b/>
        <w:color w:val="C0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E840965"/>
    <w:multiLevelType w:val="hybridMultilevel"/>
    <w:tmpl w:val="B9EAC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04736"/>
    <w:multiLevelType w:val="hybridMultilevel"/>
    <w:tmpl w:val="5F0AA0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B00981"/>
    <w:multiLevelType w:val="hybridMultilevel"/>
    <w:tmpl w:val="670CAEB0"/>
    <w:lvl w:ilvl="0" w:tplc="DF2405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D4598"/>
    <w:multiLevelType w:val="hybridMultilevel"/>
    <w:tmpl w:val="90964790"/>
    <w:lvl w:ilvl="0" w:tplc="8E943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95BFF"/>
    <w:multiLevelType w:val="hybridMultilevel"/>
    <w:tmpl w:val="7DF0E8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0022A"/>
    <w:multiLevelType w:val="hybridMultilevel"/>
    <w:tmpl w:val="0382062C"/>
    <w:lvl w:ilvl="0" w:tplc="9E8844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FC87C6C"/>
    <w:multiLevelType w:val="hybridMultilevel"/>
    <w:tmpl w:val="3F6A53A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54672D08"/>
    <w:multiLevelType w:val="hybridMultilevel"/>
    <w:tmpl w:val="3312985A"/>
    <w:lvl w:ilvl="0" w:tplc="AB52E4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831BF9"/>
    <w:multiLevelType w:val="hybridMultilevel"/>
    <w:tmpl w:val="95405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B21CEE"/>
    <w:multiLevelType w:val="hybridMultilevel"/>
    <w:tmpl w:val="DD4E73C0"/>
    <w:lvl w:ilvl="0" w:tplc="681EC7E4">
      <w:start w:val="1"/>
      <w:numFmt w:val="decimal"/>
      <w:pStyle w:val="Heading1"/>
      <w:lvlText w:val="%1."/>
      <w:lvlJc w:val="left"/>
      <w:pPr>
        <w:ind w:left="630" w:hanging="360"/>
      </w:pPr>
      <w:rPr>
        <w:rFonts w:ascii="Calisto MT" w:hAnsi="Calisto MT"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ED4AD8"/>
    <w:multiLevelType w:val="hybridMultilevel"/>
    <w:tmpl w:val="ADBA3A5A"/>
    <w:lvl w:ilvl="0" w:tplc="04090015">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7364055"/>
    <w:multiLevelType w:val="hybridMultilevel"/>
    <w:tmpl w:val="40182930"/>
    <w:lvl w:ilvl="0" w:tplc="B18263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DC0535"/>
    <w:multiLevelType w:val="hybridMultilevel"/>
    <w:tmpl w:val="A850B9F0"/>
    <w:lvl w:ilvl="0" w:tplc="24D699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4F38AB"/>
    <w:multiLevelType w:val="hybridMultilevel"/>
    <w:tmpl w:val="AF805E14"/>
    <w:lvl w:ilvl="0" w:tplc="95E61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C579C4"/>
    <w:multiLevelType w:val="hybridMultilevel"/>
    <w:tmpl w:val="6180E6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C7561CE"/>
    <w:multiLevelType w:val="hybridMultilevel"/>
    <w:tmpl w:val="61D6D2C8"/>
    <w:lvl w:ilvl="0" w:tplc="5260BE84">
      <w:start w:val="75"/>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9927102">
    <w:abstractNumId w:val="17"/>
  </w:num>
  <w:num w:numId="2" w16cid:durableId="686715423">
    <w:abstractNumId w:val="23"/>
  </w:num>
  <w:num w:numId="3" w16cid:durableId="766122390">
    <w:abstractNumId w:val="7"/>
  </w:num>
  <w:num w:numId="4" w16cid:durableId="2144806057">
    <w:abstractNumId w:val="6"/>
  </w:num>
  <w:num w:numId="5" w16cid:durableId="903949005">
    <w:abstractNumId w:val="22"/>
  </w:num>
  <w:num w:numId="6" w16cid:durableId="1832216503">
    <w:abstractNumId w:val="0"/>
  </w:num>
  <w:num w:numId="7" w16cid:durableId="476724017">
    <w:abstractNumId w:val="10"/>
  </w:num>
  <w:num w:numId="8" w16cid:durableId="1219586716">
    <w:abstractNumId w:val="3"/>
  </w:num>
  <w:num w:numId="9" w16cid:durableId="1872918708">
    <w:abstractNumId w:val="15"/>
  </w:num>
  <w:num w:numId="10" w16cid:durableId="757557915">
    <w:abstractNumId w:val="16"/>
  </w:num>
  <w:num w:numId="11" w16cid:durableId="495921163">
    <w:abstractNumId w:val="21"/>
  </w:num>
  <w:num w:numId="12" w16cid:durableId="1846288101">
    <w:abstractNumId w:val="20"/>
  </w:num>
  <w:num w:numId="13" w16cid:durableId="1330211898">
    <w:abstractNumId w:val="1"/>
  </w:num>
  <w:num w:numId="14" w16cid:durableId="772555681">
    <w:abstractNumId w:val="12"/>
  </w:num>
  <w:num w:numId="15" w16cid:durableId="214202705">
    <w:abstractNumId w:val="11"/>
  </w:num>
  <w:num w:numId="16" w16cid:durableId="1248614316">
    <w:abstractNumId w:val="19"/>
  </w:num>
  <w:num w:numId="17" w16cid:durableId="956644525">
    <w:abstractNumId w:val="5"/>
  </w:num>
  <w:num w:numId="18" w16cid:durableId="1928609799">
    <w:abstractNumId w:val="14"/>
  </w:num>
  <w:num w:numId="19" w16cid:durableId="165442049">
    <w:abstractNumId w:val="8"/>
  </w:num>
  <w:num w:numId="20" w16cid:durableId="1411124211">
    <w:abstractNumId w:val="4"/>
  </w:num>
  <w:num w:numId="21" w16cid:durableId="324356597">
    <w:abstractNumId w:val="9"/>
  </w:num>
  <w:num w:numId="22" w16cid:durableId="1685401334">
    <w:abstractNumId w:val="13"/>
  </w:num>
  <w:num w:numId="23" w16cid:durableId="1252012572">
    <w:abstractNumId w:val="24"/>
  </w:num>
  <w:num w:numId="24" w16cid:durableId="287010069">
    <w:abstractNumId w:val="2"/>
  </w:num>
  <w:num w:numId="25" w16cid:durableId="5799949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5A"/>
    <w:rsid w:val="000023A8"/>
    <w:rsid w:val="000025D3"/>
    <w:rsid w:val="00002C91"/>
    <w:rsid w:val="0000742C"/>
    <w:rsid w:val="000104DA"/>
    <w:rsid w:val="00010513"/>
    <w:rsid w:val="0001069A"/>
    <w:rsid w:val="00011532"/>
    <w:rsid w:val="00016DAD"/>
    <w:rsid w:val="00027D8A"/>
    <w:rsid w:val="0003117B"/>
    <w:rsid w:val="000326E4"/>
    <w:rsid w:val="00040A07"/>
    <w:rsid w:val="00042041"/>
    <w:rsid w:val="0004222C"/>
    <w:rsid w:val="00043457"/>
    <w:rsid w:val="000451B8"/>
    <w:rsid w:val="0005643C"/>
    <w:rsid w:val="0005674D"/>
    <w:rsid w:val="000611C5"/>
    <w:rsid w:val="00062B16"/>
    <w:rsid w:val="000918FF"/>
    <w:rsid w:val="00091BE9"/>
    <w:rsid w:val="00094763"/>
    <w:rsid w:val="00095D8F"/>
    <w:rsid w:val="000A6134"/>
    <w:rsid w:val="000A69DC"/>
    <w:rsid w:val="000B0865"/>
    <w:rsid w:val="000B22F7"/>
    <w:rsid w:val="000B2383"/>
    <w:rsid w:val="000B2672"/>
    <w:rsid w:val="000B3891"/>
    <w:rsid w:val="000B4DD2"/>
    <w:rsid w:val="000B571D"/>
    <w:rsid w:val="000B7A3F"/>
    <w:rsid w:val="000C0CC5"/>
    <w:rsid w:val="000C4650"/>
    <w:rsid w:val="000C6273"/>
    <w:rsid w:val="000D1722"/>
    <w:rsid w:val="000D2547"/>
    <w:rsid w:val="000D6D96"/>
    <w:rsid w:val="000D7461"/>
    <w:rsid w:val="000E12D3"/>
    <w:rsid w:val="000F071F"/>
    <w:rsid w:val="0010013B"/>
    <w:rsid w:val="00105428"/>
    <w:rsid w:val="00112FF0"/>
    <w:rsid w:val="00115AEE"/>
    <w:rsid w:val="00132895"/>
    <w:rsid w:val="001469DB"/>
    <w:rsid w:val="0015006D"/>
    <w:rsid w:val="001569EC"/>
    <w:rsid w:val="00157F1E"/>
    <w:rsid w:val="001665D2"/>
    <w:rsid w:val="001731E4"/>
    <w:rsid w:val="00173AE4"/>
    <w:rsid w:val="00176BF0"/>
    <w:rsid w:val="00177961"/>
    <w:rsid w:val="00181AB4"/>
    <w:rsid w:val="00181F54"/>
    <w:rsid w:val="001852F3"/>
    <w:rsid w:val="0018603D"/>
    <w:rsid w:val="00191762"/>
    <w:rsid w:val="0019286C"/>
    <w:rsid w:val="001941E5"/>
    <w:rsid w:val="0019426C"/>
    <w:rsid w:val="001A6475"/>
    <w:rsid w:val="001B3917"/>
    <w:rsid w:val="001C12E9"/>
    <w:rsid w:val="001C19D7"/>
    <w:rsid w:val="001C45B9"/>
    <w:rsid w:val="001C6DF4"/>
    <w:rsid w:val="001D69BF"/>
    <w:rsid w:val="001E1CFD"/>
    <w:rsid w:val="001E4D63"/>
    <w:rsid w:val="001E570F"/>
    <w:rsid w:val="001F2AF1"/>
    <w:rsid w:val="001F2EDE"/>
    <w:rsid w:val="001F3C4A"/>
    <w:rsid w:val="002012C6"/>
    <w:rsid w:val="00205A1C"/>
    <w:rsid w:val="002102E9"/>
    <w:rsid w:val="00211B14"/>
    <w:rsid w:val="00212B72"/>
    <w:rsid w:val="00213C52"/>
    <w:rsid w:val="002159F8"/>
    <w:rsid w:val="00216BAF"/>
    <w:rsid w:val="002178F9"/>
    <w:rsid w:val="00222A2A"/>
    <w:rsid w:val="00223429"/>
    <w:rsid w:val="002302AF"/>
    <w:rsid w:val="00232C78"/>
    <w:rsid w:val="00233A4C"/>
    <w:rsid w:val="00234AFC"/>
    <w:rsid w:val="0023696D"/>
    <w:rsid w:val="00237E38"/>
    <w:rsid w:val="002418A2"/>
    <w:rsid w:val="00241F8A"/>
    <w:rsid w:val="002428B8"/>
    <w:rsid w:val="00243FEB"/>
    <w:rsid w:val="002457A4"/>
    <w:rsid w:val="0024602C"/>
    <w:rsid w:val="002623E6"/>
    <w:rsid w:val="00272D27"/>
    <w:rsid w:val="00274D9A"/>
    <w:rsid w:val="00280698"/>
    <w:rsid w:val="00282ED8"/>
    <w:rsid w:val="00286369"/>
    <w:rsid w:val="00287910"/>
    <w:rsid w:val="002918A5"/>
    <w:rsid w:val="0029365E"/>
    <w:rsid w:val="0029408E"/>
    <w:rsid w:val="00295327"/>
    <w:rsid w:val="00297A4E"/>
    <w:rsid w:val="002A233D"/>
    <w:rsid w:val="002A38CC"/>
    <w:rsid w:val="002A4222"/>
    <w:rsid w:val="002A524D"/>
    <w:rsid w:val="002A7D4E"/>
    <w:rsid w:val="002B43ED"/>
    <w:rsid w:val="002B5860"/>
    <w:rsid w:val="002B6AB0"/>
    <w:rsid w:val="002B7404"/>
    <w:rsid w:val="002B7B8F"/>
    <w:rsid w:val="002D1239"/>
    <w:rsid w:val="002D2677"/>
    <w:rsid w:val="002E2D74"/>
    <w:rsid w:val="002E37A0"/>
    <w:rsid w:val="002E4F7D"/>
    <w:rsid w:val="002E66B8"/>
    <w:rsid w:val="002F76B2"/>
    <w:rsid w:val="002F7F19"/>
    <w:rsid w:val="003010AA"/>
    <w:rsid w:val="0030250C"/>
    <w:rsid w:val="00307B70"/>
    <w:rsid w:val="00315E4A"/>
    <w:rsid w:val="00323174"/>
    <w:rsid w:val="00330501"/>
    <w:rsid w:val="00333CDD"/>
    <w:rsid w:val="00342C31"/>
    <w:rsid w:val="00351696"/>
    <w:rsid w:val="00356326"/>
    <w:rsid w:val="003568A3"/>
    <w:rsid w:val="0035718A"/>
    <w:rsid w:val="00375390"/>
    <w:rsid w:val="00375E7B"/>
    <w:rsid w:val="00377BE2"/>
    <w:rsid w:val="00377E05"/>
    <w:rsid w:val="003836A3"/>
    <w:rsid w:val="00383CCF"/>
    <w:rsid w:val="00383E71"/>
    <w:rsid w:val="00387553"/>
    <w:rsid w:val="003913CC"/>
    <w:rsid w:val="003938EE"/>
    <w:rsid w:val="0039438C"/>
    <w:rsid w:val="0039703F"/>
    <w:rsid w:val="003A34C9"/>
    <w:rsid w:val="003A558C"/>
    <w:rsid w:val="003A5D68"/>
    <w:rsid w:val="003A6D12"/>
    <w:rsid w:val="003A7F63"/>
    <w:rsid w:val="003B0C7F"/>
    <w:rsid w:val="003B4CEA"/>
    <w:rsid w:val="003B5077"/>
    <w:rsid w:val="003B5415"/>
    <w:rsid w:val="003B606B"/>
    <w:rsid w:val="003B60C6"/>
    <w:rsid w:val="003C1223"/>
    <w:rsid w:val="003D1FF5"/>
    <w:rsid w:val="003D3181"/>
    <w:rsid w:val="003E0762"/>
    <w:rsid w:val="003E0A5A"/>
    <w:rsid w:val="003E1B6E"/>
    <w:rsid w:val="003E214F"/>
    <w:rsid w:val="003E6F09"/>
    <w:rsid w:val="003F02F7"/>
    <w:rsid w:val="003F1748"/>
    <w:rsid w:val="003F55E2"/>
    <w:rsid w:val="00402ED3"/>
    <w:rsid w:val="00402F16"/>
    <w:rsid w:val="00404978"/>
    <w:rsid w:val="0040599B"/>
    <w:rsid w:val="00406486"/>
    <w:rsid w:val="00412BF0"/>
    <w:rsid w:val="00416F74"/>
    <w:rsid w:val="00417391"/>
    <w:rsid w:val="0042093B"/>
    <w:rsid w:val="00422EA1"/>
    <w:rsid w:val="00422F14"/>
    <w:rsid w:val="00426A52"/>
    <w:rsid w:val="00430B66"/>
    <w:rsid w:val="00430CA4"/>
    <w:rsid w:val="00437DEB"/>
    <w:rsid w:val="004409B8"/>
    <w:rsid w:val="004519DB"/>
    <w:rsid w:val="004648C8"/>
    <w:rsid w:val="004652A1"/>
    <w:rsid w:val="004653BA"/>
    <w:rsid w:val="00465894"/>
    <w:rsid w:val="00473373"/>
    <w:rsid w:val="00482C05"/>
    <w:rsid w:val="00486401"/>
    <w:rsid w:val="00487AC6"/>
    <w:rsid w:val="00487F5C"/>
    <w:rsid w:val="00492D09"/>
    <w:rsid w:val="004931BD"/>
    <w:rsid w:val="004950D0"/>
    <w:rsid w:val="00495965"/>
    <w:rsid w:val="004A1206"/>
    <w:rsid w:val="004A3C12"/>
    <w:rsid w:val="004A4ED5"/>
    <w:rsid w:val="004A5DEE"/>
    <w:rsid w:val="004A6CA8"/>
    <w:rsid w:val="004B40DA"/>
    <w:rsid w:val="004C1ACE"/>
    <w:rsid w:val="004C2171"/>
    <w:rsid w:val="004C7F90"/>
    <w:rsid w:val="004E3210"/>
    <w:rsid w:val="004E3CFD"/>
    <w:rsid w:val="004E3E60"/>
    <w:rsid w:val="004E6C71"/>
    <w:rsid w:val="004E7C0C"/>
    <w:rsid w:val="004F4DCA"/>
    <w:rsid w:val="004F523C"/>
    <w:rsid w:val="004F5587"/>
    <w:rsid w:val="00501A7C"/>
    <w:rsid w:val="0050277E"/>
    <w:rsid w:val="00506562"/>
    <w:rsid w:val="00510A84"/>
    <w:rsid w:val="00516DDE"/>
    <w:rsid w:val="00517DA6"/>
    <w:rsid w:val="00533F09"/>
    <w:rsid w:val="005342FE"/>
    <w:rsid w:val="0054083D"/>
    <w:rsid w:val="005438E4"/>
    <w:rsid w:val="0055193C"/>
    <w:rsid w:val="00552EDC"/>
    <w:rsid w:val="00556A09"/>
    <w:rsid w:val="005605AB"/>
    <w:rsid w:val="00561F11"/>
    <w:rsid w:val="005629AF"/>
    <w:rsid w:val="00566376"/>
    <w:rsid w:val="005709F9"/>
    <w:rsid w:val="00572F82"/>
    <w:rsid w:val="00580242"/>
    <w:rsid w:val="00581CC0"/>
    <w:rsid w:val="005854A8"/>
    <w:rsid w:val="00585FCC"/>
    <w:rsid w:val="00596BBF"/>
    <w:rsid w:val="00597A1C"/>
    <w:rsid w:val="005A2703"/>
    <w:rsid w:val="005A7C03"/>
    <w:rsid w:val="005B1A15"/>
    <w:rsid w:val="005B382B"/>
    <w:rsid w:val="005B4849"/>
    <w:rsid w:val="005B4EA0"/>
    <w:rsid w:val="005D0AA3"/>
    <w:rsid w:val="005D2238"/>
    <w:rsid w:val="005F390A"/>
    <w:rsid w:val="006054D4"/>
    <w:rsid w:val="00606B86"/>
    <w:rsid w:val="0061363F"/>
    <w:rsid w:val="0062542D"/>
    <w:rsid w:val="00631A15"/>
    <w:rsid w:val="006330ED"/>
    <w:rsid w:val="006334B2"/>
    <w:rsid w:val="00643586"/>
    <w:rsid w:val="00643950"/>
    <w:rsid w:val="00646382"/>
    <w:rsid w:val="00647E22"/>
    <w:rsid w:val="00654A38"/>
    <w:rsid w:val="00654FC5"/>
    <w:rsid w:val="006571A3"/>
    <w:rsid w:val="00667BAF"/>
    <w:rsid w:val="00670521"/>
    <w:rsid w:val="00671CA4"/>
    <w:rsid w:val="00680E7D"/>
    <w:rsid w:val="00684C97"/>
    <w:rsid w:val="00686228"/>
    <w:rsid w:val="00686396"/>
    <w:rsid w:val="00687371"/>
    <w:rsid w:val="00687952"/>
    <w:rsid w:val="00692F76"/>
    <w:rsid w:val="006A680A"/>
    <w:rsid w:val="006B1670"/>
    <w:rsid w:val="006B38DB"/>
    <w:rsid w:val="006C7BA6"/>
    <w:rsid w:val="006D2D7B"/>
    <w:rsid w:val="006D2FFF"/>
    <w:rsid w:val="006E093A"/>
    <w:rsid w:val="006E35E5"/>
    <w:rsid w:val="006E538A"/>
    <w:rsid w:val="006E7C62"/>
    <w:rsid w:val="006F3168"/>
    <w:rsid w:val="006F4146"/>
    <w:rsid w:val="0070235A"/>
    <w:rsid w:val="00710AE9"/>
    <w:rsid w:val="00716A3D"/>
    <w:rsid w:val="00736175"/>
    <w:rsid w:val="007373FD"/>
    <w:rsid w:val="00737754"/>
    <w:rsid w:val="00737A47"/>
    <w:rsid w:val="007404A6"/>
    <w:rsid w:val="007409E9"/>
    <w:rsid w:val="00745018"/>
    <w:rsid w:val="00752890"/>
    <w:rsid w:val="00761104"/>
    <w:rsid w:val="00762730"/>
    <w:rsid w:val="00763CF0"/>
    <w:rsid w:val="00764136"/>
    <w:rsid w:val="00771967"/>
    <w:rsid w:val="0077744C"/>
    <w:rsid w:val="007775E0"/>
    <w:rsid w:val="007776F1"/>
    <w:rsid w:val="00783943"/>
    <w:rsid w:val="0078616F"/>
    <w:rsid w:val="0079177A"/>
    <w:rsid w:val="0079258E"/>
    <w:rsid w:val="00792A46"/>
    <w:rsid w:val="00795659"/>
    <w:rsid w:val="00795DB0"/>
    <w:rsid w:val="007960E4"/>
    <w:rsid w:val="007B4152"/>
    <w:rsid w:val="007C0E7C"/>
    <w:rsid w:val="007C44F8"/>
    <w:rsid w:val="007E503E"/>
    <w:rsid w:val="007F1212"/>
    <w:rsid w:val="007F7282"/>
    <w:rsid w:val="008018CB"/>
    <w:rsid w:val="00801C28"/>
    <w:rsid w:val="00803744"/>
    <w:rsid w:val="008067BC"/>
    <w:rsid w:val="00806F2D"/>
    <w:rsid w:val="00812414"/>
    <w:rsid w:val="00815450"/>
    <w:rsid w:val="0083340F"/>
    <w:rsid w:val="00844077"/>
    <w:rsid w:val="00846ED9"/>
    <w:rsid w:val="00853724"/>
    <w:rsid w:val="00853E3A"/>
    <w:rsid w:val="0086673A"/>
    <w:rsid w:val="00875D40"/>
    <w:rsid w:val="00877464"/>
    <w:rsid w:val="008813D7"/>
    <w:rsid w:val="00883654"/>
    <w:rsid w:val="00885ACE"/>
    <w:rsid w:val="00886FB3"/>
    <w:rsid w:val="00891F16"/>
    <w:rsid w:val="00893C3C"/>
    <w:rsid w:val="008951DD"/>
    <w:rsid w:val="00897B98"/>
    <w:rsid w:val="008A435C"/>
    <w:rsid w:val="008A7395"/>
    <w:rsid w:val="008B434D"/>
    <w:rsid w:val="008B7B96"/>
    <w:rsid w:val="008C14E5"/>
    <w:rsid w:val="008C2081"/>
    <w:rsid w:val="008D149D"/>
    <w:rsid w:val="008D267B"/>
    <w:rsid w:val="008D4D02"/>
    <w:rsid w:val="008D769A"/>
    <w:rsid w:val="008E1E8D"/>
    <w:rsid w:val="008E2168"/>
    <w:rsid w:val="008E380A"/>
    <w:rsid w:val="008E415A"/>
    <w:rsid w:val="008E75B2"/>
    <w:rsid w:val="008F228B"/>
    <w:rsid w:val="008F4018"/>
    <w:rsid w:val="008F4669"/>
    <w:rsid w:val="00902BF6"/>
    <w:rsid w:val="00902E86"/>
    <w:rsid w:val="00905111"/>
    <w:rsid w:val="009171D5"/>
    <w:rsid w:val="0092455A"/>
    <w:rsid w:val="009359DE"/>
    <w:rsid w:val="00935C1A"/>
    <w:rsid w:val="00940A71"/>
    <w:rsid w:val="009415B9"/>
    <w:rsid w:val="00945099"/>
    <w:rsid w:val="00954219"/>
    <w:rsid w:val="00955400"/>
    <w:rsid w:val="0095635F"/>
    <w:rsid w:val="00957362"/>
    <w:rsid w:val="0096241C"/>
    <w:rsid w:val="00967BB6"/>
    <w:rsid w:val="009732AA"/>
    <w:rsid w:val="00984616"/>
    <w:rsid w:val="009917D3"/>
    <w:rsid w:val="00993A83"/>
    <w:rsid w:val="00993B70"/>
    <w:rsid w:val="009A24AA"/>
    <w:rsid w:val="009A4A4C"/>
    <w:rsid w:val="009A567A"/>
    <w:rsid w:val="009A6817"/>
    <w:rsid w:val="009B0260"/>
    <w:rsid w:val="009B11B0"/>
    <w:rsid w:val="009B1B28"/>
    <w:rsid w:val="009C1A1E"/>
    <w:rsid w:val="009C1A30"/>
    <w:rsid w:val="009C48C1"/>
    <w:rsid w:val="009D4E40"/>
    <w:rsid w:val="009D67D4"/>
    <w:rsid w:val="009E4231"/>
    <w:rsid w:val="009E5EA6"/>
    <w:rsid w:val="009F2A55"/>
    <w:rsid w:val="00A05D5C"/>
    <w:rsid w:val="00A1701A"/>
    <w:rsid w:val="00A21C5C"/>
    <w:rsid w:val="00A222A7"/>
    <w:rsid w:val="00A22928"/>
    <w:rsid w:val="00A22C9F"/>
    <w:rsid w:val="00A27F7B"/>
    <w:rsid w:val="00A34DA3"/>
    <w:rsid w:val="00A3642F"/>
    <w:rsid w:val="00A37DB2"/>
    <w:rsid w:val="00A4285C"/>
    <w:rsid w:val="00A54A56"/>
    <w:rsid w:val="00A55124"/>
    <w:rsid w:val="00A552E5"/>
    <w:rsid w:val="00A5586A"/>
    <w:rsid w:val="00A5671A"/>
    <w:rsid w:val="00A57956"/>
    <w:rsid w:val="00A62F45"/>
    <w:rsid w:val="00A65EFF"/>
    <w:rsid w:val="00A7593E"/>
    <w:rsid w:val="00A75BE9"/>
    <w:rsid w:val="00A77134"/>
    <w:rsid w:val="00A805BC"/>
    <w:rsid w:val="00A80895"/>
    <w:rsid w:val="00A81948"/>
    <w:rsid w:val="00A82B1E"/>
    <w:rsid w:val="00A83153"/>
    <w:rsid w:val="00A84580"/>
    <w:rsid w:val="00A9271C"/>
    <w:rsid w:val="00A92782"/>
    <w:rsid w:val="00AA097B"/>
    <w:rsid w:val="00AA2CB6"/>
    <w:rsid w:val="00AA47C4"/>
    <w:rsid w:val="00AA5BE3"/>
    <w:rsid w:val="00AB2F46"/>
    <w:rsid w:val="00AB4C03"/>
    <w:rsid w:val="00AC16FC"/>
    <w:rsid w:val="00AC36B7"/>
    <w:rsid w:val="00AD1BC0"/>
    <w:rsid w:val="00AD21EA"/>
    <w:rsid w:val="00AD4EA2"/>
    <w:rsid w:val="00AD4F7C"/>
    <w:rsid w:val="00AE393C"/>
    <w:rsid w:val="00B01812"/>
    <w:rsid w:val="00B032B9"/>
    <w:rsid w:val="00B05939"/>
    <w:rsid w:val="00B12A13"/>
    <w:rsid w:val="00B1330B"/>
    <w:rsid w:val="00B16AEF"/>
    <w:rsid w:val="00B17B0C"/>
    <w:rsid w:val="00B21109"/>
    <w:rsid w:val="00B234F6"/>
    <w:rsid w:val="00B23E11"/>
    <w:rsid w:val="00B2711F"/>
    <w:rsid w:val="00B319B2"/>
    <w:rsid w:val="00B34EAA"/>
    <w:rsid w:val="00B40127"/>
    <w:rsid w:val="00B4198B"/>
    <w:rsid w:val="00B447D2"/>
    <w:rsid w:val="00B636C2"/>
    <w:rsid w:val="00B672EC"/>
    <w:rsid w:val="00B73FE4"/>
    <w:rsid w:val="00B75445"/>
    <w:rsid w:val="00B776C4"/>
    <w:rsid w:val="00B80BA5"/>
    <w:rsid w:val="00B8116E"/>
    <w:rsid w:val="00B925C5"/>
    <w:rsid w:val="00B978B8"/>
    <w:rsid w:val="00BA0A05"/>
    <w:rsid w:val="00BA1AC6"/>
    <w:rsid w:val="00BA42EE"/>
    <w:rsid w:val="00BB0192"/>
    <w:rsid w:val="00BB507A"/>
    <w:rsid w:val="00BB5E10"/>
    <w:rsid w:val="00BD3F8F"/>
    <w:rsid w:val="00BD5FBF"/>
    <w:rsid w:val="00BE2E67"/>
    <w:rsid w:val="00BE31C5"/>
    <w:rsid w:val="00BE44B7"/>
    <w:rsid w:val="00BE705F"/>
    <w:rsid w:val="00BE731C"/>
    <w:rsid w:val="00BF6606"/>
    <w:rsid w:val="00C0139F"/>
    <w:rsid w:val="00C013CE"/>
    <w:rsid w:val="00C0445D"/>
    <w:rsid w:val="00C143C4"/>
    <w:rsid w:val="00C14F75"/>
    <w:rsid w:val="00C155F4"/>
    <w:rsid w:val="00C23B2B"/>
    <w:rsid w:val="00C261CA"/>
    <w:rsid w:val="00C352CD"/>
    <w:rsid w:val="00C37B0A"/>
    <w:rsid w:val="00C40140"/>
    <w:rsid w:val="00C44419"/>
    <w:rsid w:val="00C52125"/>
    <w:rsid w:val="00C54072"/>
    <w:rsid w:val="00C57CD2"/>
    <w:rsid w:val="00C6018F"/>
    <w:rsid w:val="00C61C6C"/>
    <w:rsid w:val="00C65204"/>
    <w:rsid w:val="00C6567B"/>
    <w:rsid w:val="00C700CD"/>
    <w:rsid w:val="00C7034D"/>
    <w:rsid w:val="00C70E41"/>
    <w:rsid w:val="00C75E50"/>
    <w:rsid w:val="00C80F33"/>
    <w:rsid w:val="00C810A5"/>
    <w:rsid w:val="00C83EB0"/>
    <w:rsid w:val="00C843C4"/>
    <w:rsid w:val="00C858CD"/>
    <w:rsid w:val="00C9016C"/>
    <w:rsid w:val="00C90D6A"/>
    <w:rsid w:val="00C93765"/>
    <w:rsid w:val="00CA020E"/>
    <w:rsid w:val="00CA1463"/>
    <w:rsid w:val="00CA3685"/>
    <w:rsid w:val="00CA3762"/>
    <w:rsid w:val="00CB1D27"/>
    <w:rsid w:val="00CB336C"/>
    <w:rsid w:val="00CB3D02"/>
    <w:rsid w:val="00CB46F3"/>
    <w:rsid w:val="00CC08F1"/>
    <w:rsid w:val="00CC18A3"/>
    <w:rsid w:val="00CC2D12"/>
    <w:rsid w:val="00CC7819"/>
    <w:rsid w:val="00CD3C8D"/>
    <w:rsid w:val="00CE0589"/>
    <w:rsid w:val="00CE28AE"/>
    <w:rsid w:val="00CE47FF"/>
    <w:rsid w:val="00CF0295"/>
    <w:rsid w:val="00CF6053"/>
    <w:rsid w:val="00D0273B"/>
    <w:rsid w:val="00D12290"/>
    <w:rsid w:val="00D1498F"/>
    <w:rsid w:val="00D21113"/>
    <w:rsid w:val="00D260E1"/>
    <w:rsid w:val="00D30228"/>
    <w:rsid w:val="00D317AC"/>
    <w:rsid w:val="00D32678"/>
    <w:rsid w:val="00D36DC5"/>
    <w:rsid w:val="00D45B10"/>
    <w:rsid w:val="00D47261"/>
    <w:rsid w:val="00D5514B"/>
    <w:rsid w:val="00D61B96"/>
    <w:rsid w:val="00D63133"/>
    <w:rsid w:val="00D73B6E"/>
    <w:rsid w:val="00D74442"/>
    <w:rsid w:val="00D75D7A"/>
    <w:rsid w:val="00D808CB"/>
    <w:rsid w:val="00D87AC3"/>
    <w:rsid w:val="00D90B6E"/>
    <w:rsid w:val="00D949D6"/>
    <w:rsid w:val="00D957CB"/>
    <w:rsid w:val="00DA4ECC"/>
    <w:rsid w:val="00DB2407"/>
    <w:rsid w:val="00DB7777"/>
    <w:rsid w:val="00DC1578"/>
    <w:rsid w:val="00DD1545"/>
    <w:rsid w:val="00DD3144"/>
    <w:rsid w:val="00DD36BB"/>
    <w:rsid w:val="00DE6065"/>
    <w:rsid w:val="00DE7EE8"/>
    <w:rsid w:val="00DF0A56"/>
    <w:rsid w:val="00E02BB3"/>
    <w:rsid w:val="00E03CCC"/>
    <w:rsid w:val="00E0460F"/>
    <w:rsid w:val="00E05350"/>
    <w:rsid w:val="00E07AE8"/>
    <w:rsid w:val="00E13231"/>
    <w:rsid w:val="00E13720"/>
    <w:rsid w:val="00E13D4D"/>
    <w:rsid w:val="00E1715D"/>
    <w:rsid w:val="00E3225F"/>
    <w:rsid w:val="00E32750"/>
    <w:rsid w:val="00E350DD"/>
    <w:rsid w:val="00E3756C"/>
    <w:rsid w:val="00E41738"/>
    <w:rsid w:val="00E41956"/>
    <w:rsid w:val="00E41E60"/>
    <w:rsid w:val="00E44C56"/>
    <w:rsid w:val="00E458DB"/>
    <w:rsid w:val="00E504CA"/>
    <w:rsid w:val="00E57669"/>
    <w:rsid w:val="00E60441"/>
    <w:rsid w:val="00E60561"/>
    <w:rsid w:val="00E613C2"/>
    <w:rsid w:val="00E65BC4"/>
    <w:rsid w:val="00E7080D"/>
    <w:rsid w:val="00E71842"/>
    <w:rsid w:val="00E7528D"/>
    <w:rsid w:val="00E75E79"/>
    <w:rsid w:val="00E85BBA"/>
    <w:rsid w:val="00E91FB8"/>
    <w:rsid w:val="00E9477C"/>
    <w:rsid w:val="00E975FB"/>
    <w:rsid w:val="00EA3147"/>
    <w:rsid w:val="00EA3AA7"/>
    <w:rsid w:val="00EA3B6E"/>
    <w:rsid w:val="00ED1AE0"/>
    <w:rsid w:val="00ED3330"/>
    <w:rsid w:val="00EF5567"/>
    <w:rsid w:val="00F02ABB"/>
    <w:rsid w:val="00F02DD9"/>
    <w:rsid w:val="00F10045"/>
    <w:rsid w:val="00F12764"/>
    <w:rsid w:val="00F14107"/>
    <w:rsid w:val="00F255F3"/>
    <w:rsid w:val="00F34C6A"/>
    <w:rsid w:val="00F3516E"/>
    <w:rsid w:val="00F437BA"/>
    <w:rsid w:val="00F468DF"/>
    <w:rsid w:val="00F53873"/>
    <w:rsid w:val="00F576AA"/>
    <w:rsid w:val="00F608E6"/>
    <w:rsid w:val="00F71E0B"/>
    <w:rsid w:val="00F71ECA"/>
    <w:rsid w:val="00F726E6"/>
    <w:rsid w:val="00F74A4C"/>
    <w:rsid w:val="00F7768B"/>
    <w:rsid w:val="00F83461"/>
    <w:rsid w:val="00F92D7D"/>
    <w:rsid w:val="00F969AF"/>
    <w:rsid w:val="00FA1E58"/>
    <w:rsid w:val="00FA2638"/>
    <w:rsid w:val="00FA4AE3"/>
    <w:rsid w:val="00FA5D42"/>
    <w:rsid w:val="00FA6895"/>
    <w:rsid w:val="00FB18EF"/>
    <w:rsid w:val="00FB2744"/>
    <w:rsid w:val="00FB2F8D"/>
    <w:rsid w:val="00FC1B5C"/>
    <w:rsid w:val="00FC387D"/>
    <w:rsid w:val="00FC56EC"/>
    <w:rsid w:val="00FD03D2"/>
    <w:rsid w:val="00FD3AC4"/>
    <w:rsid w:val="00FD75BE"/>
    <w:rsid w:val="00FE24EE"/>
    <w:rsid w:val="00FE30B9"/>
    <w:rsid w:val="00FF3789"/>
    <w:rsid w:val="00FF378A"/>
    <w:rsid w:val="00FF4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27A63"/>
  <w15:docId w15:val="{73212E48-7B01-4DD3-88D3-ACB317D1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873"/>
    <w:pPr>
      <w:spacing w:after="0" w:line="240" w:lineRule="auto"/>
    </w:pPr>
    <w:rPr>
      <w:rFonts w:ascii="Calisto MT" w:hAnsi="Calisto MT"/>
      <w:sz w:val="26"/>
    </w:rPr>
  </w:style>
  <w:style w:type="paragraph" w:styleId="Heading1">
    <w:name w:val="heading 1"/>
    <w:basedOn w:val="Normal"/>
    <w:next w:val="Normal"/>
    <w:link w:val="Heading1Char"/>
    <w:uiPriority w:val="9"/>
    <w:qFormat/>
    <w:rsid w:val="00F53873"/>
    <w:pPr>
      <w:widowControl w:val="0"/>
      <w:numPr>
        <w:numId w:val="25"/>
      </w:numPr>
      <w:ind w:left="72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352CD"/>
    <w:pPr>
      <w:spacing w:after="120"/>
      <w:ind w:firstLine="720"/>
    </w:pPr>
  </w:style>
  <w:style w:type="character" w:customStyle="1" w:styleId="FootnoteTextChar">
    <w:name w:val="Footnote Text Char"/>
    <w:basedOn w:val="DefaultParagraphFont"/>
    <w:link w:val="FootnoteText"/>
    <w:uiPriority w:val="99"/>
    <w:semiHidden/>
    <w:rsid w:val="00C352CD"/>
    <w:rPr>
      <w:rFonts w:ascii="Arial" w:hAnsi="Arial"/>
      <w:sz w:val="24"/>
      <w:szCs w:val="20"/>
    </w:rPr>
  </w:style>
  <w:style w:type="character" w:styleId="FootnoteReference">
    <w:name w:val="footnote reference"/>
    <w:basedOn w:val="DefaultParagraphFont"/>
    <w:uiPriority w:val="99"/>
    <w:semiHidden/>
    <w:unhideWhenUsed/>
    <w:rsid w:val="00C352CD"/>
    <w:rPr>
      <w:vertAlign w:val="superscript"/>
    </w:rPr>
  </w:style>
  <w:style w:type="paragraph" w:styleId="BalloonText">
    <w:name w:val="Balloon Text"/>
    <w:basedOn w:val="Normal"/>
    <w:link w:val="BalloonTextChar"/>
    <w:uiPriority w:val="99"/>
    <w:semiHidden/>
    <w:unhideWhenUsed/>
    <w:rsid w:val="003B0C7F"/>
    <w:rPr>
      <w:rFonts w:ascii="Tahoma" w:hAnsi="Tahoma" w:cs="Tahoma"/>
      <w:sz w:val="16"/>
      <w:szCs w:val="16"/>
    </w:rPr>
  </w:style>
  <w:style w:type="character" w:customStyle="1" w:styleId="BalloonTextChar">
    <w:name w:val="Balloon Text Char"/>
    <w:basedOn w:val="DefaultParagraphFont"/>
    <w:link w:val="BalloonText"/>
    <w:uiPriority w:val="99"/>
    <w:semiHidden/>
    <w:rsid w:val="003B0C7F"/>
    <w:rPr>
      <w:rFonts w:ascii="Tahoma" w:hAnsi="Tahoma" w:cs="Tahoma"/>
      <w:sz w:val="16"/>
      <w:szCs w:val="16"/>
    </w:rPr>
  </w:style>
  <w:style w:type="paragraph" w:styleId="Header">
    <w:name w:val="header"/>
    <w:basedOn w:val="Normal"/>
    <w:link w:val="HeaderChar"/>
    <w:uiPriority w:val="99"/>
    <w:unhideWhenUsed/>
    <w:rsid w:val="0050277E"/>
    <w:pPr>
      <w:tabs>
        <w:tab w:val="center" w:pos="4680"/>
        <w:tab w:val="right" w:pos="9360"/>
      </w:tabs>
    </w:pPr>
  </w:style>
  <w:style w:type="character" w:customStyle="1" w:styleId="HeaderChar">
    <w:name w:val="Header Char"/>
    <w:basedOn w:val="DefaultParagraphFont"/>
    <w:link w:val="Header"/>
    <w:uiPriority w:val="99"/>
    <w:rsid w:val="0050277E"/>
    <w:rPr>
      <w:rFonts w:ascii="Arial" w:hAnsi="Arial"/>
      <w:sz w:val="24"/>
    </w:rPr>
  </w:style>
  <w:style w:type="paragraph" w:styleId="Footer">
    <w:name w:val="footer"/>
    <w:basedOn w:val="Normal"/>
    <w:link w:val="FooterChar"/>
    <w:uiPriority w:val="99"/>
    <w:unhideWhenUsed/>
    <w:rsid w:val="0050277E"/>
    <w:pPr>
      <w:tabs>
        <w:tab w:val="center" w:pos="4680"/>
        <w:tab w:val="right" w:pos="9360"/>
      </w:tabs>
    </w:pPr>
  </w:style>
  <w:style w:type="character" w:customStyle="1" w:styleId="FooterChar">
    <w:name w:val="Footer Char"/>
    <w:basedOn w:val="DefaultParagraphFont"/>
    <w:link w:val="Footer"/>
    <w:uiPriority w:val="99"/>
    <w:rsid w:val="0050277E"/>
    <w:rPr>
      <w:rFonts w:ascii="Arial" w:hAnsi="Arial"/>
      <w:sz w:val="24"/>
    </w:rPr>
  </w:style>
  <w:style w:type="paragraph" w:styleId="ListParagraph">
    <w:name w:val="List Paragraph"/>
    <w:basedOn w:val="Normal"/>
    <w:uiPriority w:val="34"/>
    <w:qFormat/>
    <w:rsid w:val="00416F74"/>
    <w:pPr>
      <w:ind w:left="720"/>
      <w:contextualSpacing/>
    </w:pPr>
  </w:style>
  <w:style w:type="character" w:styleId="Hyperlink">
    <w:name w:val="Hyperlink"/>
    <w:basedOn w:val="DefaultParagraphFont"/>
    <w:uiPriority w:val="99"/>
    <w:unhideWhenUsed/>
    <w:rsid w:val="00C61C6C"/>
    <w:rPr>
      <w:color w:val="244061" w:themeColor="accent1" w:themeShade="80"/>
      <w:u w:val="none"/>
    </w:rPr>
  </w:style>
  <w:style w:type="table" w:styleId="TableGrid">
    <w:name w:val="Table Grid"/>
    <w:basedOn w:val="TableNormal"/>
    <w:uiPriority w:val="59"/>
    <w:rsid w:val="0004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basedOn w:val="DefaultParagraphFont"/>
    <w:uiPriority w:val="1"/>
    <w:rsid w:val="00B2711F"/>
    <w:rPr>
      <w:rFonts w:ascii="Century Schoolbook" w:hAnsi="Century Schoolbook"/>
      <w:sz w:val="24"/>
    </w:rPr>
  </w:style>
  <w:style w:type="character" w:styleId="PlaceholderText">
    <w:name w:val="Placeholder Text"/>
    <w:basedOn w:val="DefaultParagraphFont"/>
    <w:uiPriority w:val="99"/>
    <w:semiHidden/>
    <w:rsid w:val="00B2711F"/>
    <w:rPr>
      <w:color w:val="808080"/>
    </w:rPr>
  </w:style>
  <w:style w:type="paragraph" w:styleId="BodyText">
    <w:name w:val="Body Text"/>
    <w:basedOn w:val="Normal"/>
    <w:link w:val="BodyTextChar"/>
    <w:uiPriority w:val="99"/>
    <w:unhideWhenUsed/>
    <w:rsid w:val="00F14107"/>
    <w:pPr>
      <w:spacing w:after="120"/>
    </w:pPr>
  </w:style>
  <w:style w:type="character" w:customStyle="1" w:styleId="BodyTextChar">
    <w:name w:val="Body Text Char"/>
    <w:basedOn w:val="DefaultParagraphFont"/>
    <w:link w:val="BodyText"/>
    <w:uiPriority w:val="99"/>
    <w:rsid w:val="00F14107"/>
  </w:style>
  <w:style w:type="character" w:styleId="UnresolvedMention">
    <w:name w:val="Unresolved Mention"/>
    <w:basedOn w:val="DefaultParagraphFont"/>
    <w:uiPriority w:val="99"/>
    <w:semiHidden/>
    <w:unhideWhenUsed/>
    <w:rsid w:val="00A805BC"/>
    <w:rPr>
      <w:color w:val="605E5C"/>
      <w:shd w:val="clear" w:color="auto" w:fill="E1DFDD"/>
    </w:rPr>
  </w:style>
  <w:style w:type="character" w:styleId="FollowedHyperlink">
    <w:name w:val="FollowedHyperlink"/>
    <w:basedOn w:val="DefaultParagraphFont"/>
    <w:uiPriority w:val="99"/>
    <w:semiHidden/>
    <w:unhideWhenUsed/>
    <w:rsid w:val="00C83EB0"/>
    <w:rPr>
      <w:color w:val="800080" w:themeColor="followedHyperlink"/>
      <w:u w:val="single"/>
    </w:rPr>
  </w:style>
  <w:style w:type="character" w:styleId="CommentReference">
    <w:name w:val="annotation reference"/>
    <w:basedOn w:val="DefaultParagraphFont"/>
    <w:uiPriority w:val="99"/>
    <w:semiHidden/>
    <w:unhideWhenUsed/>
    <w:rsid w:val="001852F3"/>
    <w:rPr>
      <w:sz w:val="16"/>
      <w:szCs w:val="16"/>
    </w:rPr>
  </w:style>
  <w:style w:type="paragraph" w:styleId="CommentText">
    <w:name w:val="annotation text"/>
    <w:basedOn w:val="Normal"/>
    <w:link w:val="CommentTextChar"/>
    <w:uiPriority w:val="99"/>
    <w:unhideWhenUsed/>
    <w:rsid w:val="001852F3"/>
    <w:rPr>
      <w:sz w:val="20"/>
    </w:rPr>
  </w:style>
  <w:style w:type="character" w:customStyle="1" w:styleId="CommentTextChar">
    <w:name w:val="Comment Text Char"/>
    <w:basedOn w:val="DefaultParagraphFont"/>
    <w:link w:val="CommentText"/>
    <w:uiPriority w:val="99"/>
    <w:rsid w:val="001852F3"/>
    <w:rPr>
      <w:sz w:val="20"/>
    </w:rPr>
  </w:style>
  <w:style w:type="paragraph" w:styleId="CommentSubject">
    <w:name w:val="annotation subject"/>
    <w:basedOn w:val="CommentText"/>
    <w:next w:val="CommentText"/>
    <w:link w:val="CommentSubjectChar"/>
    <w:uiPriority w:val="99"/>
    <w:semiHidden/>
    <w:unhideWhenUsed/>
    <w:rsid w:val="001852F3"/>
    <w:rPr>
      <w:b/>
      <w:bCs/>
    </w:rPr>
  </w:style>
  <w:style w:type="character" w:customStyle="1" w:styleId="CommentSubjectChar">
    <w:name w:val="Comment Subject Char"/>
    <w:basedOn w:val="CommentTextChar"/>
    <w:link w:val="CommentSubject"/>
    <w:uiPriority w:val="99"/>
    <w:semiHidden/>
    <w:rsid w:val="001852F3"/>
    <w:rPr>
      <w:b/>
      <w:bCs/>
      <w:sz w:val="20"/>
    </w:rPr>
  </w:style>
  <w:style w:type="paragraph" w:styleId="Revision">
    <w:name w:val="Revision"/>
    <w:hidden/>
    <w:uiPriority w:val="99"/>
    <w:semiHidden/>
    <w:rsid w:val="00993B70"/>
    <w:pPr>
      <w:spacing w:after="0" w:line="240" w:lineRule="auto"/>
    </w:pPr>
  </w:style>
  <w:style w:type="character" w:customStyle="1" w:styleId="Heading1Char">
    <w:name w:val="Heading 1 Char"/>
    <w:basedOn w:val="DefaultParagraphFont"/>
    <w:link w:val="Heading1"/>
    <w:uiPriority w:val="9"/>
    <w:rsid w:val="00F53873"/>
    <w:rPr>
      <w:rFonts w:ascii="Calisto MT" w:eastAsiaTheme="majorEastAsia" w:hAnsi="Calisto MT" w:cstheme="majorBidi"/>
      <w:sz w:val="26"/>
      <w:szCs w:val="32"/>
    </w:rPr>
  </w:style>
  <w:style w:type="paragraph" w:customStyle="1" w:styleId="Body">
    <w:name w:val="Body"/>
    <w:basedOn w:val="Normal"/>
    <w:link w:val="BodyChar"/>
    <w:qFormat/>
    <w:rsid w:val="00C57CD2"/>
    <w:pPr>
      <w:spacing w:before="100" w:beforeAutospacing="1" w:after="100" w:afterAutospacing="1"/>
      <w:jc w:val="both"/>
    </w:pPr>
    <w:rPr>
      <w:rFonts w:ascii="Palatino Linotype" w:hAnsi="Palatino Linotype"/>
      <w:kern w:val="2"/>
      <w:sz w:val="24"/>
      <w:szCs w:val="24"/>
      <w14:ligatures w14:val="standardContextual"/>
    </w:rPr>
  </w:style>
  <w:style w:type="character" w:customStyle="1" w:styleId="BodyChar">
    <w:name w:val="Body Char"/>
    <w:basedOn w:val="DefaultParagraphFont"/>
    <w:link w:val="Body"/>
    <w:rsid w:val="00C57CD2"/>
    <w:rPr>
      <w:rFonts w:ascii="Palatino Linotype" w:hAnsi="Palatino Linotype"/>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01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otnotes">
      <a:majorFont>
        <a:latin typeface="Century School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FE161-41C6-4809-B8CF-01896C56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4339</Characters>
  <Application>Microsoft Office Word</Application>
  <DocSecurity>4</DocSecurity>
  <Lines>150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PBarksdale</dc:creator>
  <cp:keywords/>
  <dc:description/>
  <cp:lastModifiedBy>Patty Barksdale</cp:lastModifiedBy>
  <cp:revision>2</cp:revision>
  <cp:lastPrinted>2025-02-12T16:48:00Z</cp:lastPrinted>
  <dcterms:created xsi:type="dcterms:W3CDTF">2025-09-15T13:27:00Z</dcterms:created>
  <dcterms:modified xsi:type="dcterms:W3CDTF">2025-09-15T13:27:00Z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I_DOC_ID">
    <vt:lpwstr>e697ad39-6937-487d-be6f-9cf714c85468</vt:lpwstr>
  </property>
  <property fmtid="{D5CDD505-2E9C-101B-9397-08002B2CF9AE}" pid="3" name="GrammarlyDocumentId">
    <vt:lpwstr>f49bbb712508f3864df01e901db2687aaa1e7495c29355bc4b7fbb1bdc7d49c1</vt:lpwstr>
  </property>
</Properties>
</file>